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12860" w14:textId="77777777" w:rsidR="00A42C69" w:rsidRPr="001969D0" w:rsidRDefault="00B162C7" w:rsidP="001F01CA">
      <w:pPr>
        <w:jc w:val="center"/>
        <w:rPr>
          <w:rFonts w:asciiTheme="majorHAnsi" w:eastAsiaTheme="majorEastAsia" w:hAnsiTheme="majorHAnsi" w:cstheme="majorBidi"/>
          <w:sz w:val="28"/>
          <w:szCs w:val="28"/>
        </w:rPr>
      </w:pPr>
      <w:r w:rsidRPr="001969D0">
        <w:rPr>
          <w:b/>
          <w:sz w:val="28"/>
          <w:szCs w:val="28"/>
        </w:rPr>
        <w:t>Hilfestellung</w:t>
      </w:r>
      <w:r w:rsidR="00A808B5" w:rsidRPr="001969D0">
        <w:rPr>
          <w:b/>
          <w:sz w:val="28"/>
          <w:szCs w:val="28"/>
        </w:rPr>
        <w:t xml:space="preserve"> zur Erstellung eines </w:t>
      </w:r>
      <w:r w:rsidR="003A130C" w:rsidRPr="001969D0">
        <w:rPr>
          <w:b/>
          <w:sz w:val="28"/>
          <w:szCs w:val="28"/>
        </w:rPr>
        <w:t>Testkonzept</w:t>
      </w:r>
      <w:r w:rsidR="00A808B5" w:rsidRPr="001969D0">
        <w:rPr>
          <w:b/>
          <w:sz w:val="28"/>
          <w:szCs w:val="28"/>
        </w:rPr>
        <w:t>s</w:t>
      </w:r>
      <w:r w:rsidR="003A130C" w:rsidRPr="001969D0">
        <w:rPr>
          <w:b/>
          <w:sz w:val="28"/>
          <w:szCs w:val="28"/>
        </w:rPr>
        <w:t xml:space="preserve"> </w:t>
      </w:r>
      <w:r w:rsidR="00D2558E" w:rsidRPr="001969D0">
        <w:rPr>
          <w:b/>
          <w:sz w:val="28"/>
          <w:szCs w:val="28"/>
        </w:rPr>
        <w:t xml:space="preserve">zur Testung auf </w:t>
      </w:r>
      <w:r w:rsidR="00454AB8" w:rsidRPr="001969D0">
        <w:rPr>
          <w:b/>
          <w:sz w:val="28"/>
          <w:szCs w:val="28"/>
        </w:rPr>
        <w:br/>
      </w:r>
      <w:r w:rsidR="00D2558E" w:rsidRPr="001969D0">
        <w:rPr>
          <w:b/>
          <w:sz w:val="28"/>
          <w:szCs w:val="28"/>
        </w:rPr>
        <w:t xml:space="preserve">SARS-CoV-2 </w:t>
      </w:r>
      <w:r w:rsidR="003A130C" w:rsidRPr="001969D0">
        <w:rPr>
          <w:b/>
          <w:sz w:val="28"/>
          <w:szCs w:val="28"/>
        </w:rPr>
        <w:t xml:space="preserve">für </w:t>
      </w:r>
      <w:r w:rsidR="00243F3B" w:rsidRPr="001969D0">
        <w:rPr>
          <w:b/>
          <w:sz w:val="28"/>
          <w:szCs w:val="28"/>
        </w:rPr>
        <w:t xml:space="preserve">ambulante und </w:t>
      </w:r>
      <w:r w:rsidR="00A24E11" w:rsidRPr="001969D0">
        <w:rPr>
          <w:b/>
          <w:sz w:val="28"/>
          <w:szCs w:val="28"/>
        </w:rPr>
        <w:t xml:space="preserve">stationäre </w:t>
      </w:r>
      <w:r w:rsidR="005C2E1C" w:rsidRPr="001969D0">
        <w:rPr>
          <w:b/>
          <w:sz w:val="28"/>
          <w:szCs w:val="28"/>
        </w:rPr>
        <w:t>Pflegeeinrichtungen</w:t>
      </w:r>
      <w:r w:rsidR="00A24E11" w:rsidRPr="001969D0">
        <w:rPr>
          <w:b/>
          <w:sz w:val="28"/>
          <w:szCs w:val="28"/>
        </w:rPr>
        <w:t xml:space="preserve"> sowie für </w:t>
      </w:r>
      <w:r w:rsidR="00243F3B" w:rsidRPr="001969D0">
        <w:rPr>
          <w:b/>
          <w:sz w:val="28"/>
          <w:szCs w:val="28"/>
        </w:rPr>
        <w:t xml:space="preserve">Angebote zur </w:t>
      </w:r>
      <w:r w:rsidR="00A24E11" w:rsidRPr="001969D0">
        <w:rPr>
          <w:b/>
          <w:sz w:val="28"/>
          <w:szCs w:val="28"/>
        </w:rPr>
        <w:t>Unterstützung im Alltag</w:t>
      </w:r>
      <w:r w:rsidR="00E861EC" w:rsidRPr="001969D0">
        <w:rPr>
          <w:b/>
          <w:sz w:val="28"/>
          <w:szCs w:val="28"/>
        </w:rPr>
        <w:t xml:space="preserve"> </w:t>
      </w:r>
    </w:p>
    <w:p w14:paraId="6CD6A88A" w14:textId="77777777" w:rsidR="00DC3980" w:rsidRDefault="00DC3980" w:rsidP="00331257">
      <w:pPr>
        <w:spacing w:after="0" w:line="276" w:lineRule="auto"/>
      </w:pPr>
    </w:p>
    <w:p w14:paraId="020CA2C8" w14:textId="77777777" w:rsidR="00BA6F2F" w:rsidRPr="00BA6F2F" w:rsidRDefault="00BA6F2F" w:rsidP="00BA6F2F">
      <w:r w:rsidRPr="00BA6F2F">
        <w:t xml:space="preserve">Die „Verordnung zum Anspruch auf Testung in Bezug auf einen direkten Erregernachweis des Coronavirus SARS-CoV-2 (Coronavirus-Testverordnung – TestV), die am 15.Oktober 2020 in Kraft getreten ist, sieht u.a. vor, dass zugelassene ambulante und stationäre Pflegeeinrichtungen sowie Angebote zur Unterstützung im Alltag (im weiteren Text zusammenfassend Pflegeeinrichtungen genannt) auf der Grundlage eines einrichtungsbezogenen Testkonzepts eine vom öffentlichen Gesundheitsdienst auf Antrag festgestellte Menge an PoC-Antigen-Tests beschaffen und nutzen können. In stationären Einrichtungen können bis zu 20 PoC-Antigen-Tests und von ambulanten Einrichtungen bis zu 10 PoC-Antigen-Tests </w:t>
      </w:r>
      <w:r w:rsidR="005B1B5C">
        <w:t xml:space="preserve">je </w:t>
      </w:r>
      <w:r w:rsidR="00A63E2A">
        <w:t>P</w:t>
      </w:r>
      <w:r w:rsidRPr="00BA6F2F">
        <w:t>flegebedürftige</w:t>
      </w:r>
      <w:r w:rsidR="005B1B5C">
        <w:t>m</w:t>
      </w:r>
      <w:r w:rsidRPr="00BA6F2F">
        <w:t xml:space="preserve"> pro Monat beschafft und genutzt werden. Die PoC-Antigen-Tests sollen von den Einrichtungen eingesetzt werden für die Testung von Personen, </w:t>
      </w:r>
    </w:p>
    <w:p w14:paraId="39CD94D2" w14:textId="77777777" w:rsidR="00BA6F2F" w:rsidRPr="00BA6F2F" w:rsidRDefault="00BA6F2F" w:rsidP="00BA6F2F">
      <w:r w:rsidRPr="00BA6F2F">
        <w:t>•</w:t>
      </w:r>
      <w:r w:rsidRPr="00BA6F2F">
        <w:tab/>
        <w:t xml:space="preserve">die dort tätig sind </w:t>
      </w:r>
    </w:p>
    <w:p w14:paraId="1ED2FEAE" w14:textId="77777777" w:rsidR="00BA6F2F" w:rsidRPr="00BA6F2F" w:rsidRDefault="00BA6F2F" w:rsidP="00BA6F2F">
      <w:r w:rsidRPr="00BA6F2F">
        <w:t>•</w:t>
      </w:r>
      <w:r w:rsidRPr="00BA6F2F">
        <w:tab/>
        <w:t>die durch diese gepflegt und betreut werden oder</w:t>
      </w:r>
    </w:p>
    <w:p w14:paraId="1F812125" w14:textId="77777777" w:rsidR="00BA6F2F" w:rsidRPr="00BA6F2F" w:rsidRDefault="00BA6F2F" w:rsidP="00BA6F2F">
      <w:r w:rsidRPr="00BA6F2F">
        <w:t>•</w:t>
      </w:r>
      <w:r w:rsidRPr="00BA6F2F">
        <w:tab/>
        <w:t xml:space="preserve">die als Besuchsperson eine stationäre Pflegeeinrichtung betreten wollen. </w:t>
      </w:r>
    </w:p>
    <w:p w14:paraId="37E14A4E" w14:textId="77777777" w:rsidR="00BA6F2F" w:rsidRPr="00BA6F2F" w:rsidRDefault="00BA6F2F" w:rsidP="00BA6F2F">
      <w:r w:rsidRPr="00BA6F2F">
        <w:t>Eine wesentliche, in der Verordnung geforderte Voraussetzung hierfür ist das Vorlegen eines einrichtungs- oder unternehmensbezogenen Testkonzepts bei den zuständigen Stellen des öffentlichen Gesundheitsdienstes (örtlich zuständiges Gesundheitsamt): Diese Hilfestellung bietet wichtige Informationen und Anregungen zur Erstellung eines einrichtungsspezifischen Testkonzepts und für dessen praktische Umsetzung.</w:t>
      </w:r>
    </w:p>
    <w:p w14:paraId="7F0D8264" w14:textId="5C45966C" w:rsidR="00BA6F2F" w:rsidRPr="00BA6F2F" w:rsidRDefault="00BA6F2F" w:rsidP="00BA6F2F">
      <w:r w:rsidRPr="00BA6F2F">
        <w:t xml:space="preserve">Die bisherige Teststrategie </w:t>
      </w:r>
      <w:r w:rsidR="004035BE">
        <w:t>befasste sich</w:t>
      </w:r>
      <w:r w:rsidRPr="00BA6F2F">
        <w:t xml:space="preserve"> ausschließlich </w:t>
      </w:r>
      <w:r w:rsidR="004035BE">
        <w:t xml:space="preserve">mit </w:t>
      </w:r>
      <w:r w:rsidRPr="00BA6F2F">
        <w:t xml:space="preserve">PCR-Tests (PCR – </w:t>
      </w:r>
      <w:proofErr w:type="spellStart"/>
      <w:r w:rsidRPr="00BA6F2F">
        <w:t>polymerase</w:t>
      </w:r>
      <w:proofErr w:type="spellEnd"/>
      <w:r w:rsidRPr="00BA6F2F">
        <w:t xml:space="preserve"> </w:t>
      </w:r>
      <w:proofErr w:type="spellStart"/>
      <w:r w:rsidRPr="00BA6F2F">
        <w:t>chain</w:t>
      </w:r>
      <w:proofErr w:type="spellEnd"/>
      <w:r w:rsidRPr="00BA6F2F">
        <w:t xml:space="preserve"> </w:t>
      </w:r>
      <w:proofErr w:type="spellStart"/>
      <w:r w:rsidRPr="00BA6F2F">
        <w:t>reaction</w:t>
      </w:r>
      <w:proofErr w:type="spellEnd"/>
      <w:r w:rsidRPr="00BA6F2F">
        <w:t xml:space="preserve">) </w:t>
      </w:r>
      <w:r w:rsidR="00842514">
        <w:t>zum Nachweis des</w:t>
      </w:r>
      <w:r w:rsidRPr="00BA6F2F">
        <w:t xml:space="preserve"> Coronavirus SARS CoV-2 für bestimmte Fallkonstellationen in Pflegebeziehungen bzw. in Pflegeeinrichtungen. Die Steuerung erfolgte bisher wesentlich über die Gesundheitsämter unter Berücksichtigung der (lokalen) epidemiologischen Lage. </w:t>
      </w:r>
    </w:p>
    <w:p w14:paraId="4450261F" w14:textId="7015811F" w:rsidR="00BA6F2F" w:rsidRPr="00BA6F2F" w:rsidRDefault="00BA6F2F" w:rsidP="00BA6F2F">
      <w:r w:rsidRPr="00BA6F2F">
        <w:t>Auch die neue Nationale Teststrategie sieht PCR-Testung</w:t>
      </w:r>
      <w:r w:rsidR="004035BE">
        <w:t>en</w:t>
      </w:r>
      <w:r w:rsidRPr="00BA6F2F">
        <w:t xml:space="preserve"> unter bestimmten Vorgaben vor. Liegen etwa bei einer Person Krankheitszeichen vor, die auf COVID-19 hinweisen, besteht ein Anspruch auf PCR-Testung im Rahmen der Krankenbehandlung. Nach der Coronavirus-Testverordnung besteht dieser Anspruch auch für </w:t>
      </w:r>
      <w:r w:rsidR="004035BE">
        <w:t>asymptomatische</w:t>
      </w:r>
      <w:r w:rsidRPr="00BA6F2F">
        <w:t xml:space="preserve"> Personen, wenn diese Kontakt zu einer nachweislich mit SARS-CoV-2 infizierten Person hatten. Auch im Rahmen eines Ausbruchsgeschehens sind PCR-Tests vorgesehen. Für Beschäftigte in Pflegeeinrichtungen können PCR-Tests eingesetzt werden, wenn der öffentliche Gesundheitsdienst dies ver</w:t>
      </w:r>
      <w:r w:rsidR="004035BE">
        <w:t>anlasst</w:t>
      </w:r>
      <w:r w:rsidRPr="00BA6F2F">
        <w:t xml:space="preserve">. Hierzu gehören auch Tests für neue Beschäftigte dieser Einrichtungen. </w:t>
      </w:r>
    </w:p>
    <w:p w14:paraId="51D34D66" w14:textId="77777777" w:rsidR="00BA6F2F" w:rsidRPr="00BA6F2F" w:rsidRDefault="00BA6F2F" w:rsidP="00BA6F2F">
      <w:r w:rsidRPr="00847036">
        <w:t>In Anlage 1 ist die Nationale Teststrategie im Überblick dargestellt; weitere Information sind auf</w:t>
      </w:r>
      <w:r w:rsidRPr="00BA6F2F">
        <w:t xml:space="preserve"> der Internetseite des RKI zu finden.</w:t>
      </w:r>
      <w:r w:rsidRPr="00BA6F2F">
        <w:rPr>
          <w:vertAlign w:val="superscript"/>
        </w:rPr>
        <w:t xml:space="preserve"> </w:t>
      </w:r>
      <w:r w:rsidRPr="00BA6F2F">
        <w:rPr>
          <w:vertAlign w:val="superscript"/>
        </w:rPr>
        <w:footnoteReference w:id="1"/>
      </w:r>
    </w:p>
    <w:p w14:paraId="324D2F9A" w14:textId="3E9BE8DA" w:rsidR="00BA6F2F" w:rsidRPr="00BA6F2F" w:rsidRDefault="00BA6F2F" w:rsidP="00BA6F2F">
      <w:r w:rsidRPr="00BA6F2F" w:rsidDel="000A75B3">
        <w:t>PCR-Tests werden von Gesundheitsämtern, Arztpraxen und Testzentren durchgeführt. Personen in stationären Pflegeeinrichtungen können auch über die die Einrichtung betreuenden Ärztinnen und Ärzte getestet werden</w:t>
      </w:r>
      <w:r w:rsidR="004035BE">
        <w:t>,</w:t>
      </w:r>
      <w:r w:rsidR="004035BE" w:rsidRPr="004035BE">
        <w:t xml:space="preserve"> sofern ein Anspruch auf eine PCR-Testung nach der Verordnung</w:t>
      </w:r>
      <w:r w:rsidR="004035BE">
        <w:t xml:space="preserve"> </w:t>
      </w:r>
      <w:r w:rsidR="004035BE">
        <w:lastRenderedPageBreak/>
        <w:t>gegeben ist</w:t>
      </w:r>
      <w:r w:rsidRPr="00BA6F2F" w:rsidDel="000A75B3">
        <w:t>.</w:t>
      </w:r>
      <w:r w:rsidRPr="00BA6F2F">
        <w:t xml:space="preserve"> Die PCR-Tests sind in ihrer Aussagefähigkeit empfindlich und genau. Sie haben jedoch den Nachteil, dass die Testanalyse in einem Labor vorgenommen werden muss und Untersuchungsergebnisse oft erst nach mehreren Tagen</w:t>
      </w:r>
      <w:r w:rsidR="00842514">
        <w:t xml:space="preserve"> vorliegen</w:t>
      </w:r>
      <w:r w:rsidRPr="00BA6F2F">
        <w:t>.</w:t>
      </w:r>
    </w:p>
    <w:p w14:paraId="55294DEB" w14:textId="0120087F" w:rsidR="00BA6F2F" w:rsidRPr="00BA6F2F" w:rsidRDefault="00BA6F2F" w:rsidP="00BA6F2F">
      <w:r w:rsidRPr="00BA6F2F">
        <w:t>Deshalb sollen PoC-Antigen-Test</w:t>
      </w:r>
      <w:r w:rsidRPr="00BA6F2F">
        <w:rPr>
          <w:u w:val="single"/>
        </w:rPr>
        <w:t xml:space="preserve"> </w:t>
      </w:r>
      <w:r w:rsidRPr="00BA6F2F">
        <w:t xml:space="preserve">(PoC – Point </w:t>
      </w:r>
      <w:proofErr w:type="spellStart"/>
      <w:r w:rsidRPr="00BA6F2F">
        <w:t>of</w:t>
      </w:r>
      <w:proofErr w:type="spellEnd"/>
      <w:r w:rsidRPr="00BA6F2F">
        <w:t xml:space="preserve"> Care) die diagnostischen </w:t>
      </w:r>
      <w:r w:rsidR="00C578E6">
        <w:t xml:space="preserve">und präventiven Maßnahmen </w:t>
      </w:r>
      <w:r w:rsidRPr="00BA6F2F">
        <w:t xml:space="preserve"> ergänzen.</w:t>
      </w:r>
      <w:r w:rsidRPr="00BA6F2F" w:rsidDel="00CD6E98">
        <w:t xml:space="preserve"> </w:t>
      </w:r>
      <w:r w:rsidRPr="00BA6F2F">
        <w:t xml:space="preserve">Die Tests können patientennah bzw. am Versorgungsort - z. B. in einer stationären Pflegeeinrichtung oder im Haushalt einer ambulant gepflegten Person – von </w:t>
      </w:r>
      <w:r w:rsidR="00BC5BF2">
        <w:t>geschultem medizinischen</w:t>
      </w:r>
      <w:r w:rsidRPr="00BA6F2F">
        <w:t xml:space="preserve"> Person</w:t>
      </w:r>
      <w:r w:rsidR="005D74A5">
        <w:t>al</w:t>
      </w:r>
      <w:r w:rsidRPr="00BA6F2F">
        <w:t xml:space="preserve"> durchgeführt werden. </w:t>
      </w:r>
      <w:r w:rsidR="00C307DC" w:rsidRPr="00C307DC">
        <w:t xml:space="preserve">Die </w:t>
      </w:r>
      <w:r w:rsidR="004035BE">
        <w:t>Durch</w:t>
      </w:r>
      <w:r w:rsidR="004035BE" w:rsidRPr="004035BE">
        <w:t>führ</w:t>
      </w:r>
      <w:r w:rsidR="004035BE">
        <w:t>ung</w:t>
      </w:r>
      <w:r w:rsidR="004035BE" w:rsidRPr="004035BE">
        <w:t xml:space="preserve"> </w:t>
      </w:r>
      <w:r w:rsidR="00C307DC" w:rsidRPr="00C307DC">
        <w:t xml:space="preserve">der PoC-Antigen-Tests durch </w:t>
      </w:r>
      <w:r w:rsidR="00C307DC">
        <w:t xml:space="preserve">Pflegekräfte </w:t>
      </w:r>
      <w:r w:rsidR="00C307DC" w:rsidRPr="00C307DC">
        <w:t>ist möglich.</w:t>
      </w:r>
      <w:r w:rsidR="00C307DC">
        <w:t xml:space="preserve"> </w:t>
      </w:r>
      <w:r w:rsidRPr="00BA6F2F">
        <w:t xml:space="preserve">Da die Testergebnisse innerhalb weniger Minuten vorliegen, eignen sie sich überall dort, wo vulnerable Personengruppen durch schnell vorliegende Informationen vor einer Ansteckung durch das Coronavirus geschützt werden sollen, also insbesondere auch für die Testung in Pflegeeinrichtungen. </w:t>
      </w:r>
    </w:p>
    <w:p w14:paraId="2C9F1467" w14:textId="77777777" w:rsidR="00BA6F2F" w:rsidRPr="00BA6F2F" w:rsidRDefault="00BA6F2F" w:rsidP="00BA6F2F">
      <w:r w:rsidRPr="00BA6F2F">
        <w:t>Für die Verhütung der Verbreitung des Coronavirus SARS-CoV-2 stellen PoC-Antigen-Tests eine neue wichtige Option zur Testung von Beschäftigten, Pflegebedürftigen bzw. im Falle von Besuchspersonen (in stationären Einrichtungen) sogar die einzige unmittelbar anwendbare Möglichkeit zur Reduzierung des Übertragungsrisikos dar.</w:t>
      </w:r>
    </w:p>
    <w:p w14:paraId="41750ECD" w14:textId="70391E8A" w:rsidR="001151CE" w:rsidRPr="00BA6F2F" w:rsidRDefault="006655EB" w:rsidP="00BA6F2F">
      <w:r w:rsidRPr="002A6C1F">
        <w:t>Auch bei der Verwendung von PoC-Antigen-Tests ist die anlass-bezogene und zielgerichtete Testung essentiell. Deshalb wird empfohlen,</w:t>
      </w:r>
      <w:r>
        <w:t xml:space="preserve"> vor dem</w:t>
      </w:r>
      <w:r w:rsidR="001151CE">
        <w:t xml:space="preserve"> Einsatz von PoC-Antigen-Tests zur Testung von asymptomatischen Personen (</w:t>
      </w:r>
      <w:r w:rsidR="00AC3DED">
        <w:t xml:space="preserve">Betreute, Bewohner, Personal, </w:t>
      </w:r>
      <w:r w:rsidR="001151CE">
        <w:t>Besucher), die epidemiologische Lage vor</w:t>
      </w:r>
      <w:r w:rsidR="00777E9D">
        <w:t xml:space="preserve"> Ort zu berücksichtigen. </w:t>
      </w:r>
      <w:r>
        <w:t xml:space="preserve">Eine </w:t>
      </w:r>
      <w:r w:rsidR="001151CE">
        <w:t>regelmäßige</w:t>
      </w:r>
      <w:r>
        <w:t xml:space="preserve"> Reihentestung von Personal </w:t>
      </w:r>
      <w:r w:rsidR="00B15D6F">
        <w:t>kann</w:t>
      </w:r>
      <w:r>
        <w:t xml:space="preserve"> </w:t>
      </w:r>
      <w:r w:rsidR="001151CE" w:rsidRPr="002A6C1F">
        <w:t>in Gebieten mit einer erhöhten Inzidenz (z.B. 7-Tage-Inzidenz &gt;50/100.000</w:t>
      </w:r>
      <w:r w:rsidRPr="002A6C1F">
        <w:t>)</w:t>
      </w:r>
      <w:r>
        <w:t xml:space="preserve"> </w:t>
      </w:r>
      <w:r w:rsidR="00AC3DED">
        <w:t>in Absprache mit lokalen Behörden durchgeführt werden.</w:t>
      </w:r>
    </w:p>
    <w:p w14:paraId="71CD2830" w14:textId="77777777" w:rsidR="003C22FA" w:rsidRDefault="003C22FA" w:rsidP="003C22FA">
      <w:r w:rsidRPr="00BA6F2F">
        <w:t>In Anlage 2 finden Sie eine Übersicht über wichtige Eigenschaften und Anwendungssituationen von PCR- und PoC-Antigen-Tests</w:t>
      </w:r>
      <w:r>
        <w:t>.</w:t>
      </w:r>
    </w:p>
    <w:p w14:paraId="284F3A4F" w14:textId="77777777" w:rsidR="00C64770" w:rsidRDefault="0035694A" w:rsidP="00C64770">
      <w:r>
        <w:t xml:space="preserve">Ausdrücklich ist darauf hinzuweisen, dass </w:t>
      </w:r>
      <w:r w:rsidR="00DC3980">
        <w:t>Tests nur ein</w:t>
      </w:r>
      <w:r>
        <w:t xml:space="preserve">en </w:t>
      </w:r>
      <w:r w:rsidR="00DC3980">
        <w:t>Teil der Maßnahmen</w:t>
      </w:r>
      <w:r>
        <w:t xml:space="preserve"> darstellen</w:t>
      </w:r>
      <w:r w:rsidR="00DC3980">
        <w:t>, die in den Einrichtungen und von jedem Einzelnen, seien es Beschäftigte, Pflegebedürftige oder Besucherinnen, beachtet werden müssen.</w:t>
      </w:r>
    </w:p>
    <w:p w14:paraId="0366062B" w14:textId="77777777" w:rsidR="00DC3980" w:rsidRDefault="00DC3980" w:rsidP="00DC3980">
      <w:pPr>
        <w:pBdr>
          <w:top w:val="single" w:sz="4" w:space="1" w:color="auto"/>
          <w:left w:val="single" w:sz="4" w:space="4" w:color="auto"/>
          <w:bottom w:val="single" w:sz="4" w:space="1" w:color="auto"/>
          <w:right w:val="single" w:sz="4" w:space="4" w:color="auto"/>
        </w:pBdr>
        <w:spacing w:after="0"/>
        <w:ind w:left="567" w:right="567"/>
        <w:jc w:val="center"/>
        <w:rPr>
          <w:rFonts w:ascii="Calibri Light" w:hAnsi="Calibri Light"/>
          <w:b/>
          <w:color w:val="0070C0"/>
          <w:sz w:val="24"/>
          <w:szCs w:val="24"/>
        </w:rPr>
      </w:pPr>
      <w:bookmarkStart w:id="0" w:name="_GoBack"/>
      <w:bookmarkEnd w:id="0"/>
      <w:r w:rsidRPr="00530ED7">
        <w:rPr>
          <w:rFonts w:ascii="Calibri Light" w:hAnsi="Calibri Light"/>
          <w:b/>
          <w:color w:val="0070C0"/>
          <w:sz w:val="24"/>
          <w:szCs w:val="24"/>
        </w:rPr>
        <w:t>Die AHA+L-Regeln sind und bleiben eine wichtige Handlungsgrundlage:</w:t>
      </w:r>
    </w:p>
    <w:p w14:paraId="7C074CBA" w14:textId="77777777" w:rsidR="00DC3980" w:rsidRPr="00530ED7" w:rsidRDefault="00DC3980" w:rsidP="00DC3980">
      <w:pPr>
        <w:pBdr>
          <w:top w:val="single" w:sz="4" w:space="1" w:color="auto"/>
          <w:left w:val="single" w:sz="4" w:space="4" w:color="auto"/>
          <w:bottom w:val="single" w:sz="4" w:space="1" w:color="auto"/>
          <w:right w:val="single" w:sz="4" w:space="4" w:color="auto"/>
        </w:pBdr>
        <w:spacing w:after="0"/>
        <w:ind w:left="567" w:right="567" w:firstLine="141"/>
        <w:rPr>
          <w:rFonts w:ascii="Calibri Light" w:hAnsi="Calibri Light"/>
          <w:b/>
          <w:color w:val="0070C0"/>
          <w:sz w:val="24"/>
          <w:szCs w:val="24"/>
        </w:rPr>
      </w:pPr>
      <w:r w:rsidRPr="00530ED7">
        <w:rPr>
          <w:rFonts w:ascii="Calibri Light" w:hAnsi="Calibri Light"/>
          <w:b/>
          <w:color w:val="0070C0"/>
          <w:sz w:val="24"/>
          <w:szCs w:val="24"/>
        </w:rPr>
        <w:t>•</w:t>
      </w:r>
      <w:r w:rsidRPr="00530ED7">
        <w:rPr>
          <w:rFonts w:ascii="Calibri Light" w:hAnsi="Calibri Light"/>
          <w:b/>
          <w:color w:val="0070C0"/>
          <w:sz w:val="24"/>
          <w:szCs w:val="24"/>
        </w:rPr>
        <w:tab/>
        <w:t>Abstand</w:t>
      </w:r>
    </w:p>
    <w:p w14:paraId="3F1779BE" w14:textId="77777777" w:rsidR="00DC3980" w:rsidRPr="00530ED7" w:rsidRDefault="00DC3980" w:rsidP="00DC3980">
      <w:pPr>
        <w:pBdr>
          <w:top w:val="single" w:sz="4" w:space="1" w:color="auto"/>
          <w:left w:val="single" w:sz="4" w:space="4" w:color="auto"/>
          <w:bottom w:val="single" w:sz="4" w:space="1" w:color="auto"/>
          <w:right w:val="single" w:sz="4" w:space="4" w:color="auto"/>
        </w:pBdr>
        <w:spacing w:after="0"/>
        <w:ind w:left="567" w:right="567" w:firstLine="141"/>
        <w:rPr>
          <w:rFonts w:ascii="Calibri Light" w:hAnsi="Calibri Light"/>
          <w:b/>
          <w:color w:val="0070C0"/>
          <w:sz w:val="24"/>
          <w:szCs w:val="24"/>
        </w:rPr>
      </w:pPr>
      <w:r w:rsidRPr="00530ED7">
        <w:rPr>
          <w:rFonts w:ascii="Calibri Light" w:hAnsi="Calibri Light"/>
          <w:b/>
          <w:color w:val="0070C0"/>
          <w:sz w:val="24"/>
          <w:szCs w:val="24"/>
        </w:rPr>
        <w:t>•</w:t>
      </w:r>
      <w:r w:rsidRPr="00530ED7">
        <w:rPr>
          <w:rFonts w:ascii="Calibri Light" w:hAnsi="Calibri Light"/>
          <w:b/>
          <w:color w:val="0070C0"/>
          <w:sz w:val="24"/>
          <w:szCs w:val="24"/>
        </w:rPr>
        <w:tab/>
        <w:t>Hygiene</w:t>
      </w:r>
    </w:p>
    <w:p w14:paraId="02A6343C" w14:textId="77777777" w:rsidR="00DC3980" w:rsidRPr="00530ED7" w:rsidRDefault="00DC3980" w:rsidP="00DC3980">
      <w:pPr>
        <w:pBdr>
          <w:top w:val="single" w:sz="4" w:space="1" w:color="auto"/>
          <w:left w:val="single" w:sz="4" w:space="4" w:color="auto"/>
          <w:bottom w:val="single" w:sz="4" w:space="1" w:color="auto"/>
          <w:right w:val="single" w:sz="4" w:space="4" w:color="auto"/>
        </w:pBdr>
        <w:spacing w:after="0"/>
        <w:ind w:left="567" w:right="567" w:firstLine="141"/>
        <w:rPr>
          <w:rFonts w:ascii="Calibri Light" w:hAnsi="Calibri Light"/>
          <w:b/>
          <w:color w:val="0070C0"/>
          <w:sz w:val="24"/>
          <w:szCs w:val="24"/>
        </w:rPr>
      </w:pPr>
      <w:r w:rsidRPr="00530ED7">
        <w:rPr>
          <w:rFonts w:ascii="Calibri Light" w:hAnsi="Calibri Light"/>
          <w:b/>
          <w:color w:val="0070C0"/>
          <w:sz w:val="24"/>
          <w:szCs w:val="24"/>
        </w:rPr>
        <w:t>•</w:t>
      </w:r>
      <w:r w:rsidRPr="00530ED7">
        <w:rPr>
          <w:rFonts w:ascii="Calibri Light" w:hAnsi="Calibri Light"/>
          <w:b/>
          <w:color w:val="0070C0"/>
          <w:sz w:val="24"/>
          <w:szCs w:val="24"/>
        </w:rPr>
        <w:tab/>
        <w:t>Alltagsmasken (Alltagsmasken im Alltag, Mund-Nasen-Schutz bzw.</w:t>
      </w:r>
      <w:r w:rsidRPr="00530ED7">
        <w:rPr>
          <w:rFonts w:ascii="Calibri Light" w:hAnsi="Calibri Light"/>
          <w:b/>
          <w:color w:val="0070C0"/>
          <w:sz w:val="24"/>
          <w:szCs w:val="24"/>
        </w:rPr>
        <w:br/>
      </w:r>
      <w:r w:rsidRPr="00530ED7">
        <w:rPr>
          <w:rFonts w:ascii="Calibri Light" w:hAnsi="Calibri Light"/>
          <w:b/>
          <w:color w:val="0070C0"/>
          <w:sz w:val="24"/>
          <w:szCs w:val="24"/>
        </w:rPr>
        <w:tab/>
      </w:r>
      <w:r w:rsidRPr="00530ED7">
        <w:rPr>
          <w:rFonts w:ascii="Calibri Light" w:hAnsi="Calibri Light"/>
          <w:b/>
          <w:color w:val="0070C0"/>
          <w:sz w:val="24"/>
          <w:szCs w:val="24"/>
        </w:rPr>
        <w:tab/>
        <w:t xml:space="preserve">FFP2 oder vergleichbare Atemschutzmasken am Arbeitsplatz) </w:t>
      </w:r>
    </w:p>
    <w:p w14:paraId="3D2E9CD7" w14:textId="77777777" w:rsidR="00DC3980" w:rsidRPr="00530ED7" w:rsidRDefault="00DC3980" w:rsidP="00DC3980">
      <w:pPr>
        <w:pBdr>
          <w:top w:val="single" w:sz="4" w:space="1" w:color="auto"/>
          <w:left w:val="single" w:sz="4" w:space="4" w:color="auto"/>
          <w:bottom w:val="single" w:sz="4" w:space="1" w:color="auto"/>
          <w:right w:val="single" w:sz="4" w:space="4" w:color="auto"/>
        </w:pBdr>
        <w:spacing w:after="0"/>
        <w:ind w:left="567" w:right="567" w:firstLine="141"/>
        <w:rPr>
          <w:rFonts w:ascii="Calibri Light" w:hAnsi="Calibri Light"/>
          <w:b/>
          <w:color w:val="0070C0"/>
          <w:sz w:val="24"/>
          <w:szCs w:val="24"/>
        </w:rPr>
      </w:pPr>
      <w:r w:rsidRPr="00530ED7">
        <w:rPr>
          <w:rFonts w:ascii="Calibri Light" w:hAnsi="Calibri Light"/>
          <w:b/>
          <w:color w:val="0070C0"/>
          <w:sz w:val="24"/>
          <w:szCs w:val="24"/>
        </w:rPr>
        <w:t>•</w:t>
      </w:r>
      <w:r w:rsidRPr="00530ED7">
        <w:rPr>
          <w:rFonts w:ascii="Calibri Light" w:hAnsi="Calibri Light"/>
          <w:b/>
          <w:color w:val="0070C0"/>
          <w:sz w:val="24"/>
          <w:szCs w:val="24"/>
        </w:rPr>
        <w:tab/>
        <w:t>+ Lüften</w:t>
      </w:r>
    </w:p>
    <w:p w14:paraId="4043C30B" w14:textId="77777777" w:rsidR="00DC3980" w:rsidRPr="00530ED7" w:rsidRDefault="00DC3980" w:rsidP="00DC3980">
      <w:pPr>
        <w:pBdr>
          <w:top w:val="single" w:sz="4" w:space="1" w:color="auto"/>
          <w:left w:val="single" w:sz="4" w:space="4" w:color="auto"/>
          <w:bottom w:val="single" w:sz="4" w:space="1" w:color="auto"/>
          <w:right w:val="single" w:sz="4" w:space="4" w:color="auto"/>
        </w:pBdr>
        <w:spacing w:after="0"/>
        <w:ind w:left="567" w:right="567"/>
        <w:rPr>
          <w:rFonts w:ascii="Calibri Light" w:hAnsi="Calibri Light"/>
          <w:b/>
          <w:color w:val="0070C0"/>
          <w:sz w:val="24"/>
          <w:szCs w:val="24"/>
        </w:rPr>
      </w:pPr>
    </w:p>
    <w:p w14:paraId="21665D3B" w14:textId="5461597D" w:rsidR="00301115" w:rsidRDefault="00DC3980" w:rsidP="00301115">
      <w:pPr>
        <w:pBdr>
          <w:top w:val="single" w:sz="4" w:space="1" w:color="auto"/>
          <w:left w:val="single" w:sz="4" w:space="4" w:color="auto"/>
          <w:bottom w:val="single" w:sz="4" w:space="1" w:color="auto"/>
          <w:right w:val="single" w:sz="4" w:space="4" w:color="auto"/>
        </w:pBdr>
        <w:spacing w:after="0"/>
        <w:ind w:left="567" w:right="567"/>
        <w:jc w:val="center"/>
        <w:rPr>
          <w:rFonts w:ascii="Calibri Light" w:hAnsi="Calibri Light"/>
          <w:b/>
          <w:color w:val="0070C0"/>
          <w:sz w:val="24"/>
          <w:szCs w:val="24"/>
        </w:rPr>
      </w:pPr>
      <w:r w:rsidRPr="00530ED7">
        <w:rPr>
          <w:rFonts w:ascii="Calibri Light" w:hAnsi="Calibri Light"/>
          <w:b/>
          <w:color w:val="0070C0"/>
          <w:sz w:val="24"/>
          <w:szCs w:val="24"/>
        </w:rPr>
        <w:t>Auch ein negatives Testergebnis darf nicht dazu verleiten,</w:t>
      </w:r>
    </w:p>
    <w:p w14:paraId="029E4CCC" w14:textId="1A323D02" w:rsidR="00DC3980" w:rsidRDefault="00DC3980" w:rsidP="00301115">
      <w:pPr>
        <w:pBdr>
          <w:top w:val="single" w:sz="4" w:space="1" w:color="auto"/>
          <w:left w:val="single" w:sz="4" w:space="4" w:color="auto"/>
          <w:bottom w:val="single" w:sz="4" w:space="1" w:color="auto"/>
          <w:right w:val="single" w:sz="4" w:space="4" w:color="auto"/>
        </w:pBdr>
        <w:spacing w:after="0"/>
        <w:ind w:left="567" w:right="567"/>
        <w:jc w:val="center"/>
        <w:rPr>
          <w:rFonts w:ascii="Calibri Light" w:hAnsi="Calibri Light"/>
          <w:b/>
          <w:color w:val="0070C0"/>
          <w:sz w:val="24"/>
          <w:szCs w:val="24"/>
        </w:rPr>
      </w:pPr>
      <w:r w:rsidRPr="00530ED7">
        <w:rPr>
          <w:rFonts w:ascii="Calibri Light" w:hAnsi="Calibri Light"/>
          <w:b/>
          <w:color w:val="0070C0"/>
          <w:sz w:val="24"/>
          <w:szCs w:val="24"/>
        </w:rPr>
        <w:t xml:space="preserve">diese Regeln nicht </w:t>
      </w:r>
      <w:r w:rsidR="00301115">
        <w:rPr>
          <w:rFonts w:ascii="Calibri Light" w:hAnsi="Calibri Light"/>
          <w:b/>
          <w:color w:val="0070C0"/>
          <w:sz w:val="24"/>
          <w:szCs w:val="24"/>
        </w:rPr>
        <w:t>mehr konsequent einzuhalten!</w:t>
      </w:r>
    </w:p>
    <w:p w14:paraId="0DF4F2BF" w14:textId="77777777" w:rsidR="001969D0" w:rsidRDefault="001969D0"/>
    <w:p w14:paraId="09114B8E" w14:textId="77777777" w:rsidR="0035694A" w:rsidRDefault="0035694A" w:rsidP="00301115">
      <w:pPr>
        <w:spacing w:line="300" w:lineRule="atLeast"/>
      </w:pPr>
      <w:r>
        <w:t>Sie finden im Anhang fünf Anlagen, die Sie bei der Umsetzung von Testungen unterstützen sollen:</w:t>
      </w:r>
    </w:p>
    <w:p w14:paraId="778C399C" w14:textId="77777777" w:rsidR="0035694A" w:rsidRDefault="00BA6F2F" w:rsidP="00301115">
      <w:pPr>
        <w:pStyle w:val="Listenabsatz"/>
        <w:numPr>
          <w:ilvl w:val="0"/>
          <w:numId w:val="22"/>
        </w:numPr>
        <w:spacing w:before="120" w:line="300" w:lineRule="atLeast"/>
        <w:ind w:left="714" w:hanging="357"/>
      </w:pPr>
      <w:r w:rsidRPr="00BA6F2F">
        <w:t>Nationale Teststrategie im Überblick</w:t>
      </w:r>
      <w:r>
        <w:t xml:space="preserve"> (Schaubild)</w:t>
      </w:r>
    </w:p>
    <w:p w14:paraId="46157818" w14:textId="77777777" w:rsidR="00BA6F2F" w:rsidRDefault="00FA43E4" w:rsidP="00301115">
      <w:pPr>
        <w:pStyle w:val="Listenabsatz"/>
        <w:numPr>
          <w:ilvl w:val="0"/>
          <w:numId w:val="22"/>
        </w:numPr>
        <w:spacing w:before="120" w:line="300" w:lineRule="atLeast"/>
        <w:ind w:left="714" w:hanging="357"/>
      </w:pPr>
      <w:r w:rsidRPr="00FA43E4">
        <w:t>Vergleichende Übersicht: PCR- und PoC-Antigen-Tests</w:t>
      </w:r>
    </w:p>
    <w:p w14:paraId="4767198C" w14:textId="77777777" w:rsidR="0035694A" w:rsidRDefault="00FA43E4" w:rsidP="00301115">
      <w:pPr>
        <w:pStyle w:val="Listenabsatz"/>
        <w:numPr>
          <w:ilvl w:val="0"/>
          <w:numId w:val="22"/>
        </w:numPr>
        <w:spacing w:before="120" w:line="300" w:lineRule="atLeast"/>
        <w:ind w:left="714" w:hanging="357"/>
      </w:pPr>
      <w:r w:rsidRPr="00FA43E4">
        <w:t>Elemente eines einrichtungs- bzw. unternehmensspezifischen Testkonzepts</w:t>
      </w:r>
    </w:p>
    <w:p w14:paraId="4F8532E1" w14:textId="77777777" w:rsidR="00FA43E4" w:rsidRDefault="00FA43E4" w:rsidP="00301115">
      <w:pPr>
        <w:pStyle w:val="Listenabsatz"/>
        <w:numPr>
          <w:ilvl w:val="0"/>
          <w:numId w:val="22"/>
        </w:numPr>
        <w:spacing w:before="120" w:line="300" w:lineRule="atLeast"/>
        <w:ind w:left="714" w:hanging="357"/>
      </w:pPr>
      <w:r w:rsidRPr="00FA43E4">
        <w:t>Weitere Hinweise zur Planung und Durchführung von PoC-Antigen-Tests</w:t>
      </w:r>
    </w:p>
    <w:p w14:paraId="7B9B65B2" w14:textId="77777777" w:rsidR="00FA43E4" w:rsidRDefault="00FA43E4" w:rsidP="00301115">
      <w:pPr>
        <w:pStyle w:val="Listenabsatz"/>
        <w:numPr>
          <w:ilvl w:val="0"/>
          <w:numId w:val="22"/>
        </w:numPr>
        <w:spacing w:before="120" w:line="300" w:lineRule="atLeast"/>
        <w:ind w:left="714" w:hanging="357"/>
      </w:pPr>
      <w:r w:rsidRPr="00FA43E4">
        <w:t>Schrittfolge der Planung und Durchführung von PoC-Antigen-Tests</w:t>
      </w:r>
    </w:p>
    <w:sectPr w:rsidR="00FA43E4" w:rsidSect="00166A88">
      <w:footerReference w:type="default" r:id="rId8"/>
      <w:headerReference w:type="first" r:id="rId9"/>
      <w:pgSz w:w="11906" w:h="16838"/>
      <w:pgMar w:top="1417"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AFD315" w16cid:durableId="23284CB5"/>
  <w16cid:commentId w16cid:paraId="13C6BD48" w16cid:durableId="2329734B"/>
  <w16cid:commentId w16cid:paraId="587992F7" w16cid:durableId="23284E92"/>
  <w16cid:commentId w16cid:paraId="38D61D7A" w16cid:durableId="2329734D"/>
  <w16cid:commentId w16cid:paraId="6E41B381" w16cid:durableId="23284CB6"/>
  <w16cid:commentId w16cid:paraId="35C9BC7A" w16cid:durableId="23285060"/>
  <w16cid:commentId w16cid:paraId="00BB0407" w16cid:durableId="23297350"/>
  <w16cid:commentId w16cid:paraId="0E79465F" w16cid:durableId="23297351"/>
  <w16cid:commentId w16cid:paraId="699044C3" w16cid:durableId="23284CB7"/>
  <w16cid:commentId w16cid:paraId="692483C7" w16cid:durableId="23297353"/>
  <w16cid:commentId w16cid:paraId="2A0E3C27" w16cid:durableId="232976A1"/>
  <w16cid:commentId w16cid:paraId="621A3D22" w16cid:durableId="23297354"/>
  <w16cid:commentId w16cid:paraId="72A528F1" w16cid:durableId="23297355"/>
  <w16cid:commentId w16cid:paraId="1BDDB44C" w16cid:durableId="23297748"/>
  <w16cid:commentId w16cid:paraId="7B28B968" w16cid:durableId="23285714"/>
  <w16cid:commentId w16cid:paraId="215C7C60" w16cid:durableId="23297B41"/>
  <w16cid:commentId w16cid:paraId="00EA2480" w16cid:durableId="23297B65"/>
  <w16cid:commentId w16cid:paraId="5EAAD211" w16cid:durableId="23284CB8"/>
  <w16cid:commentId w16cid:paraId="41570B06" w16cid:durableId="23297359"/>
  <w16cid:commentId w16cid:paraId="232CDBDB" w16cid:durableId="232860C4"/>
  <w16cid:commentId w16cid:paraId="5446A6F7" w16cid:durableId="2329735B"/>
  <w16cid:commentId w16cid:paraId="383C053D" w16cid:durableId="232860E0"/>
  <w16cid:commentId w16cid:paraId="4F6F5B4B" w16cid:durableId="2329735D"/>
  <w16cid:commentId w16cid:paraId="03D44D56" w16cid:durableId="2329735E"/>
  <w16cid:commentId w16cid:paraId="1BB8DE20" w16cid:durableId="2329735F"/>
  <w16cid:commentId w16cid:paraId="521A0707" w16cid:durableId="232862EA"/>
  <w16cid:commentId w16cid:paraId="3E8F4BEA" w16cid:durableId="23297361"/>
  <w16cid:commentId w16cid:paraId="7D06C698" w16cid:durableId="23297C41"/>
  <w16cid:commentId w16cid:paraId="292CC6FD" w16cid:durableId="23297362"/>
  <w16cid:commentId w16cid:paraId="399AF7B0" w16cid:durableId="23297363"/>
  <w16cid:commentId w16cid:paraId="5BC89A15" w16cid:durableId="23297364"/>
  <w16cid:commentId w16cid:paraId="5A49BF39" w16cid:durableId="23284C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164B6" w14:textId="77777777" w:rsidR="00C21B4D" w:rsidRDefault="00C21B4D" w:rsidP="003F5891">
      <w:pPr>
        <w:spacing w:after="0" w:line="240" w:lineRule="auto"/>
      </w:pPr>
      <w:r>
        <w:separator/>
      </w:r>
    </w:p>
  </w:endnote>
  <w:endnote w:type="continuationSeparator" w:id="0">
    <w:p w14:paraId="22B9A7CA" w14:textId="77777777" w:rsidR="00C21B4D" w:rsidRDefault="00C21B4D" w:rsidP="003F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panose1 w:val="02050002050300000203"/>
    <w:charset w:val="00"/>
    <w:family w:val="roman"/>
    <w:pitch w:val="variable"/>
    <w:sig w:usb0="A00000BF" w:usb1="4000206B"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93592"/>
      <w:docPartObj>
        <w:docPartGallery w:val="Page Numbers (Bottom of Page)"/>
        <w:docPartUnique/>
      </w:docPartObj>
    </w:sdtPr>
    <w:sdtEndPr/>
    <w:sdtContent>
      <w:p w14:paraId="4A2A03C1" w14:textId="03ED5AA4" w:rsidR="00DB05A4" w:rsidRDefault="00DB05A4">
        <w:pPr>
          <w:pStyle w:val="Fuzeile"/>
          <w:jc w:val="right"/>
        </w:pPr>
        <w:r>
          <w:fldChar w:fldCharType="begin"/>
        </w:r>
        <w:r>
          <w:instrText>PAGE   \* MERGEFORMAT</w:instrText>
        </w:r>
        <w:r>
          <w:fldChar w:fldCharType="separate"/>
        </w:r>
        <w:r w:rsidR="004035BE">
          <w:rPr>
            <w:noProof/>
          </w:rPr>
          <w:t>2</w:t>
        </w:r>
        <w:r>
          <w:fldChar w:fldCharType="end"/>
        </w:r>
      </w:p>
    </w:sdtContent>
  </w:sdt>
  <w:p w14:paraId="48DEDE3A" w14:textId="77777777" w:rsidR="00DB05A4" w:rsidRDefault="00DB05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FA0B3" w14:textId="77777777" w:rsidR="00C21B4D" w:rsidRDefault="00C21B4D" w:rsidP="003F5891">
      <w:pPr>
        <w:spacing w:after="0" w:line="240" w:lineRule="auto"/>
      </w:pPr>
      <w:r>
        <w:separator/>
      </w:r>
    </w:p>
  </w:footnote>
  <w:footnote w:type="continuationSeparator" w:id="0">
    <w:p w14:paraId="717CB6F9" w14:textId="77777777" w:rsidR="00C21B4D" w:rsidRDefault="00C21B4D" w:rsidP="003F5891">
      <w:pPr>
        <w:spacing w:after="0" w:line="240" w:lineRule="auto"/>
      </w:pPr>
      <w:r>
        <w:continuationSeparator/>
      </w:r>
    </w:p>
  </w:footnote>
  <w:footnote w:id="1">
    <w:p w14:paraId="6E94244D" w14:textId="77777777" w:rsidR="00BA6F2F" w:rsidRDefault="00BA6F2F" w:rsidP="00BA6F2F">
      <w:pPr>
        <w:pStyle w:val="Funotentext"/>
      </w:pPr>
      <w:r>
        <w:rPr>
          <w:rStyle w:val="Funotenzeichen"/>
        </w:rPr>
        <w:footnoteRef/>
      </w:r>
      <w:r>
        <w:t xml:space="preserve"> </w:t>
      </w:r>
      <w:r w:rsidRPr="0014373D">
        <w:t>https://www.rki.de/DE/Content/InfAZ/N/Neuartiges_Coronavirus/Teststrategie/Nat-Teststrat.html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3499" w14:textId="77777777" w:rsidR="00DB05A4" w:rsidRDefault="00DB05A4" w:rsidP="00627B51">
    <w:pPr>
      <w:pStyle w:val="Kopfzeile"/>
      <w:jc w:val="right"/>
    </w:pPr>
    <w:r>
      <w:t>Bundesministerium für Gesundheit, Oktober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27A6E"/>
    <w:multiLevelType w:val="hybridMultilevel"/>
    <w:tmpl w:val="431ACCB4"/>
    <w:lvl w:ilvl="0" w:tplc="B0147C18">
      <w:start w:val="1"/>
      <w:numFmt w:val="decimal"/>
      <w:lvlText w:val="%1.2"/>
      <w:lvlJc w:val="left"/>
      <w:pPr>
        <w:ind w:left="144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AB316D"/>
    <w:multiLevelType w:val="hybridMultilevel"/>
    <w:tmpl w:val="9E906658"/>
    <w:lvl w:ilvl="0" w:tplc="F1FAA11C">
      <w:start w:val="1"/>
      <w:numFmt w:val="decimal"/>
      <w:lvlText w:val="%1.2"/>
      <w:lvlJc w:val="left"/>
      <w:pPr>
        <w:ind w:left="1440" w:hanging="360"/>
      </w:pPr>
      <w:rPr>
        <w:rFonts w:hint="default"/>
      </w:rPr>
    </w:lvl>
    <w:lvl w:ilvl="1" w:tplc="B0147C18">
      <w:start w:val="1"/>
      <w:numFmt w:val="decimal"/>
      <w:lvlText w:val="%2.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4338C7"/>
    <w:multiLevelType w:val="hybridMultilevel"/>
    <w:tmpl w:val="C0F29F7E"/>
    <w:lvl w:ilvl="0" w:tplc="F1FAA11C">
      <w:start w:val="1"/>
      <w:numFmt w:val="decimal"/>
      <w:lvlText w:val="%1.2"/>
      <w:lvlJc w:val="left"/>
      <w:pPr>
        <w:ind w:left="144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454880"/>
    <w:multiLevelType w:val="hybridMultilevel"/>
    <w:tmpl w:val="2988C1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963883"/>
    <w:multiLevelType w:val="hybridMultilevel"/>
    <w:tmpl w:val="91B0A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AB56E3"/>
    <w:multiLevelType w:val="hybridMultilevel"/>
    <w:tmpl w:val="F89AD540"/>
    <w:lvl w:ilvl="0" w:tplc="044AEE4E">
      <w:start w:val="1"/>
      <w:numFmt w:val="decimal"/>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CA1999"/>
    <w:multiLevelType w:val="hybridMultilevel"/>
    <w:tmpl w:val="7482FD8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5B2D80"/>
    <w:multiLevelType w:val="hybridMultilevel"/>
    <w:tmpl w:val="D44AC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A867B0"/>
    <w:multiLevelType w:val="hybridMultilevel"/>
    <w:tmpl w:val="4958155A"/>
    <w:lvl w:ilvl="0" w:tplc="F1FAA11C">
      <w:start w:val="1"/>
      <w:numFmt w:val="decimal"/>
      <w:lvlText w:val="%1.2"/>
      <w:lvlJc w:val="left"/>
      <w:pPr>
        <w:ind w:left="1440" w:hanging="360"/>
      </w:pPr>
      <w:rPr>
        <w:rFonts w:hint="default"/>
      </w:rPr>
    </w:lvl>
    <w:lvl w:ilvl="1" w:tplc="743A720C">
      <w:start w:val="1"/>
      <w:numFmt w:val="decimal"/>
      <w:lvlText w:val="%2.3"/>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C74AF2"/>
    <w:multiLevelType w:val="hybridMultilevel"/>
    <w:tmpl w:val="B0CAA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A225ADC"/>
    <w:multiLevelType w:val="hybridMultilevel"/>
    <w:tmpl w:val="EF8C9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CB6881"/>
    <w:multiLevelType w:val="hybridMultilevel"/>
    <w:tmpl w:val="D51AC286"/>
    <w:lvl w:ilvl="0" w:tplc="F1FAA11C">
      <w:start w:val="1"/>
      <w:numFmt w:val="decimal"/>
      <w:lvlText w:val="%1.2"/>
      <w:lvlJc w:val="left"/>
      <w:pPr>
        <w:ind w:left="1440" w:hanging="360"/>
      </w:pPr>
      <w:rPr>
        <w:rFonts w:hint="default"/>
      </w:rPr>
    </w:lvl>
    <w:lvl w:ilvl="1" w:tplc="09AA2C88">
      <w:start w:val="1"/>
      <w:numFmt w:val="decimal"/>
      <w:lvlText w:val="%2.4"/>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5D00ACA"/>
    <w:multiLevelType w:val="hybridMultilevel"/>
    <w:tmpl w:val="3184116C"/>
    <w:lvl w:ilvl="0" w:tplc="044AEE4E">
      <w:start w:val="1"/>
      <w:numFmt w:val="decimal"/>
      <w:lvlText w:val="%1.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78D72C80"/>
    <w:multiLevelType w:val="hybridMultilevel"/>
    <w:tmpl w:val="F20EB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146D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4"/>
  </w:num>
  <w:num w:numId="2">
    <w:abstractNumId w:val="4"/>
  </w:num>
  <w:num w:numId="3">
    <w:abstractNumId w:val="10"/>
  </w:num>
  <w:num w:numId="4">
    <w:abstractNumId w:val="6"/>
  </w:num>
  <w:num w:numId="5">
    <w:abstractNumId w:val="13"/>
  </w:num>
  <w:num w:numId="6">
    <w:abstractNumId w:val="7"/>
  </w:num>
  <w:num w:numId="7">
    <w:abstractNumId w:val="9"/>
  </w:num>
  <w:num w:numId="8">
    <w:abstractNumId w:val="5"/>
  </w:num>
  <w:num w:numId="9">
    <w:abstractNumId w:val="12"/>
  </w:num>
  <w:num w:numId="10">
    <w:abstractNumId w:val="14"/>
  </w:num>
  <w:num w:numId="11">
    <w:abstractNumId w:val="14"/>
  </w:num>
  <w:num w:numId="12">
    <w:abstractNumId w:val="14"/>
  </w:num>
  <w:num w:numId="13">
    <w:abstractNumId w:val="0"/>
  </w:num>
  <w:num w:numId="14">
    <w:abstractNumId w:val="14"/>
  </w:num>
  <w:num w:numId="15">
    <w:abstractNumId w:val="2"/>
  </w:num>
  <w:num w:numId="16">
    <w:abstractNumId w:val="1"/>
  </w:num>
  <w:num w:numId="17">
    <w:abstractNumId w:val="14"/>
  </w:num>
  <w:num w:numId="18">
    <w:abstractNumId w:val="8"/>
  </w:num>
  <w:num w:numId="19">
    <w:abstractNumId w:val="14"/>
  </w:num>
  <w:num w:numId="20">
    <w:abstractNumId w:val="1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03"/>
    <w:rsid w:val="00002415"/>
    <w:rsid w:val="000030DF"/>
    <w:rsid w:val="00012679"/>
    <w:rsid w:val="00015D4C"/>
    <w:rsid w:val="00024CB5"/>
    <w:rsid w:val="00025479"/>
    <w:rsid w:val="000268F8"/>
    <w:rsid w:val="00032223"/>
    <w:rsid w:val="000462D0"/>
    <w:rsid w:val="00050E51"/>
    <w:rsid w:val="000524C1"/>
    <w:rsid w:val="00054772"/>
    <w:rsid w:val="000626AE"/>
    <w:rsid w:val="000637EA"/>
    <w:rsid w:val="00064F7F"/>
    <w:rsid w:val="000659A6"/>
    <w:rsid w:val="00065A1B"/>
    <w:rsid w:val="00070E49"/>
    <w:rsid w:val="00077368"/>
    <w:rsid w:val="00087ED1"/>
    <w:rsid w:val="000907FB"/>
    <w:rsid w:val="00093837"/>
    <w:rsid w:val="000A1863"/>
    <w:rsid w:val="000A2B5E"/>
    <w:rsid w:val="000A75B3"/>
    <w:rsid w:val="000B04A1"/>
    <w:rsid w:val="000B3955"/>
    <w:rsid w:val="000B411C"/>
    <w:rsid w:val="000B505A"/>
    <w:rsid w:val="000B5556"/>
    <w:rsid w:val="000C181A"/>
    <w:rsid w:val="000C4232"/>
    <w:rsid w:val="000C4AE7"/>
    <w:rsid w:val="000C557D"/>
    <w:rsid w:val="000D0398"/>
    <w:rsid w:val="000D0C44"/>
    <w:rsid w:val="000D6454"/>
    <w:rsid w:val="000D647D"/>
    <w:rsid w:val="000E2432"/>
    <w:rsid w:val="000F4875"/>
    <w:rsid w:val="000F4D81"/>
    <w:rsid w:val="00103005"/>
    <w:rsid w:val="00104387"/>
    <w:rsid w:val="00104E85"/>
    <w:rsid w:val="00105619"/>
    <w:rsid w:val="00114DE0"/>
    <w:rsid w:val="001151CE"/>
    <w:rsid w:val="00130501"/>
    <w:rsid w:val="00135907"/>
    <w:rsid w:val="00142FAC"/>
    <w:rsid w:val="0014373D"/>
    <w:rsid w:val="00144649"/>
    <w:rsid w:val="0014555F"/>
    <w:rsid w:val="00155D72"/>
    <w:rsid w:val="00165945"/>
    <w:rsid w:val="00166A88"/>
    <w:rsid w:val="00176A60"/>
    <w:rsid w:val="00177B58"/>
    <w:rsid w:val="00184116"/>
    <w:rsid w:val="001921A2"/>
    <w:rsid w:val="001942CE"/>
    <w:rsid w:val="00194417"/>
    <w:rsid w:val="001969D0"/>
    <w:rsid w:val="001A58F2"/>
    <w:rsid w:val="001A7D0B"/>
    <w:rsid w:val="001B0C5A"/>
    <w:rsid w:val="001B729F"/>
    <w:rsid w:val="001E27EA"/>
    <w:rsid w:val="001F01CA"/>
    <w:rsid w:val="001F1ECA"/>
    <w:rsid w:val="002060E2"/>
    <w:rsid w:val="00210D40"/>
    <w:rsid w:val="00217FD6"/>
    <w:rsid w:val="002228F5"/>
    <w:rsid w:val="00226435"/>
    <w:rsid w:val="00227E6E"/>
    <w:rsid w:val="00241E3A"/>
    <w:rsid w:val="00243012"/>
    <w:rsid w:val="00243F3B"/>
    <w:rsid w:val="002453D1"/>
    <w:rsid w:val="0025466C"/>
    <w:rsid w:val="0025770F"/>
    <w:rsid w:val="00264C95"/>
    <w:rsid w:val="00265A64"/>
    <w:rsid w:val="00273C22"/>
    <w:rsid w:val="0027700A"/>
    <w:rsid w:val="00281D6F"/>
    <w:rsid w:val="00283C35"/>
    <w:rsid w:val="00287D78"/>
    <w:rsid w:val="00291F6D"/>
    <w:rsid w:val="00292758"/>
    <w:rsid w:val="002A4EBB"/>
    <w:rsid w:val="002A6C1F"/>
    <w:rsid w:val="002B158C"/>
    <w:rsid w:val="002B6F1C"/>
    <w:rsid w:val="002C3372"/>
    <w:rsid w:val="002C5F77"/>
    <w:rsid w:val="002D3FA3"/>
    <w:rsid w:val="002E2BE1"/>
    <w:rsid w:val="002E6C53"/>
    <w:rsid w:val="00301115"/>
    <w:rsid w:val="00307054"/>
    <w:rsid w:val="0031047E"/>
    <w:rsid w:val="00310C05"/>
    <w:rsid w:val="003178E0"/>
    <w:rsid w:val="0032024E"/>
    <w:rsid w:val="00331257"/>
    <w:rsid w:val="003317DF"/>
    <w:rsid w:val="0033333B"/>
    <w:rsid w:val="00351D32"/>
    <w:rsid w:val="00353046"/>
    <w:rsid w:val="003552E9"/>
    <w:rsid w:val="0035694A"/>
    <w:rsid w:val="00357028"/>
    <w:rsid w:val="00360ED0"/>
    <w:rsid w:val="003615DB"/>
    <w:rsid w:val="003650B9"/>
    <w:rsid w:val="0037002F"/>
    <w:rsid w:val="0037339C"/>
    <w:rsid w:val="00381A34"/>
    <w:rsid w:val="00394B30"/>
    <w:rsid w:val="00395262"/>
    <w:rsid w:val="00395B1C"/>
    <w:rsid w:val="003A05B3"/>
    <w:rsid w:val="003A130C"/>
    <w:rsid w:val="003B4246"/>
    <w:rsid w:val="003C22FA"/>
    <w:rsid w:val="003E1603"/>
    <w:rsid w:val="003E542D"/>
    <w:rsid w:val="003E5AE9"/>
    <w:rsid w:val="003F246F"/>
    <w:rsid w:val="003F5891"/>
    <w:rsid w:val="003F631B"/>
    <w:rsid w:val="003F6337"/>
    <w:rsid w:val="003F6357"/>
    <w:rsid w:val="003F7084"/>
    <w:rsid w:val="00401302"/>
    <w:rsid w:val="00401A52"/>
    <w:rsid w:val="004035BE"/>
    <w:rsid w:val="0041274D"/>
    <w:rsid w:val="004205C9"/>
    <w:rsid w:val="00423B3F"/>
    <w:rsid w:val="00425C59"/>
    <w:rsid w:val="00433A36"/>
    <w:rsid w:val="00436315"/>
    <w:rsid w:val="0043745C"/>
    <w:rsid w:val="00443441"/>
    <w:rsid w:val="00454AB8"/>
    <w:rsid w:val="0045549A"/>
    <w:rsid w:val="0045712E"/>
    <w:rsid w:val="0045786C"/>
    <w:rsid w:val="004707D5"/>
    <w:rsid w:val="00477EC3"/>
    <w:rsid w:val="00483E3B"/>
    <w:rsid w:val="00485B36"/>
    <w:rsid w:val="00491CAF"/>
    <w:rsid w:val="00497DC3"/>
    <w:rsid w:val="004B25B9"/>
    <w:rsid w:val="004B2F31"/>
    <w:rsid w:val="004B5D31"/>
    <w:rsid w:val="004C3023"/>
    <w:rsid w:val="004C539A"/>
    <w:rsid w:val="004C62DB"/>
    <w:rsid w:val="004D2EB4"/>
    <w:rsid w:val="004D4BE7"/>
    <w:rsid w:val="004D6BC5"/>
    <w:rsid w:val="004E4048"/>
    <w:rsid w:val="004E5995"/>
    <w:rsid w:val="004F4163"/>
    <w:rsid w:val="004F4E0E"/>
    <w:rsid w:val="00501C77"/>
    <w:rsid w:val="00523C8F"/>
    <w:rsid w:val="00525A18"/>
    <w:rsid w:val="00530ED7"/>
    <w:rsid w:val="00533B92"/>
    <w:rsid w:val="00541892"/>
    <w:rsid w:val="005424BA"/>
    <w:rsid w:val="0054278D"/>
    <w:rsid w:val="005460BB"/>
    <w:rsid w:val="0054623B"/>
    <w:rsid w:val="00553CF0"/>
    <w:rsid w:val="00563F0B"/>
    <w:rsid w:val="00571B1C"/>
    <w:rsid w:val="0057307A"/>
    <w:rsid w:val="00584334"/>
    <w:rsid w:val="00593420"/>
    <w:rsid w:val="0059578C"/>
    <w:rsid w:val="005978A4"/>
    <w:rsid w:val="005A120D"/>
    <w:rsid w:val="005B1B5C"/>
    <w:rsid w:val="005B4287"/>
    <w:rsid w:val="005C2E1C"/>
    <w:rsid w:val="005D640B"/>
    <w:rsid w:val="005D74A5"/>
    <w:rsid w:val="005D756F"/>
    <w:rsid w:val="005F2153"/>
    <w:rsid w:val="005F57F3"/>
    <w:rsid w:val="0060004E"/>
    <w:rsid w:val="00607C41"/>
    <w:rsid w:val="006225F9"/>
    <w:rsid w:val="00627B51"/>
    <w:rsid w:val="0063385A"/>
    <w:rsid w:val="00633CF9"/>
    <w:rsid w:val="00635D7D"/>
    <w:rsid w:val="00637062"/>
    <w:rsid w:val="00643513"/>
    <w:rsid w:val="00644C31"/>
    <w:rsid w:val="00647F9B"/>
    <w:rsid w:val="00650D93"/>
    <w:rsid w:val="00657A3B"/>
    <w:rsid w:val="00661B21"/>
    <w:rsid w:val="00662B9C"/>
    <w:rsid w:val="0066347B"/>
    <w:rsid w:val="0066429A"/>
    <w:rsid w:val="0066450F"/>
    <w:rsid w:val="006655EB"/>
    <w:rsid w:val="006720B3"/>
    <w:rsid w:val="006801B3"/>
    <w:rsid w:val="0068362D"/>
    <w:rsid w:val="00683E57"/>
    <w:rsid w:val="00683FA6"/>
    <w:rsid w:val="00690146"/>
    <w:rsid w:val="006933A9"/>
    <w:rsid w:val="00694934"/>
    <w:rsid w:val="00697329"/>
    <w:rsid w:val="006A5F62"/>
    <w:rsid w:val="006A75B2"/>
    <w:rsid w:val="006A76D2"/>
    <w:rsid w:val="006B0F56"/>
    <w:rsid w:val="006B3579"/>
    <w:rsid w:val="006C39B5"/>
    <w:rsid w:val="006C54B3"/>
    <w:rsid w:val="006D5523"/>
    <w:rsid w:val="006D5674"/>
    <w:rsid w:val="006D7CC7"/>
    <w:rsid w:val="006E3C21"/>
    <w:rsid w:val="006F2D1A"/>
    <w:rsid w:val="006F34DC"/>
    <w:rsid w:val="00700147"/>
    <w:rsid w:val="007024F3"/>
    <w:rsid w:val="007037D8"/>
    <w:rsid w:val="00705BCB"/>
    <w:rsid w:val="00706BC4"/>
    <w:rsid w:val="00713074"/>
    <w:rsid w:val="007140F6"/>
    <w:rsid w:val="007147B8"/>
    <w:rsid w:val="00720808"/>
    <w:rsid w:val="00725DA8"/>
    <w:rsid w:val="00734973"/>
    <w:rsid w:val="00736FBA"/>
    <w:rsid w:val="007377CB"/>
    <w:rsid w:val="00742943"/>
    <w:rsid w:val="00743C9D"/>
    <w:rsid w:val="007471AC"/>
    <w:rsid w:val="007550EF"/>
    <w:rsid w:val="00777E9D"/>
    <w:rsid w:val="00784D5D"/>
    <w:rsid w:val="00793521"/>
    <w:rsid w:val="007A28C4"/>
    <w:rsid w:val="007A312A"/>
    <w:rsid w:val="007B35D4"/>
    <w:rsid w:val="007B5989"/>
    <w:rsid w:val="007B7016"/>
    <w:rsid w:val="007C5EF4"/>
    <w:rsid w:val="007D1715"/>
    <w:rsid w:val="007D365D"/>
    <w:rsid w:val="007D51A6"/>
    <w:rsid w:val="007D66F3"/>
    <w:rsid w:val="007E5FAE"/>
    <w:rsid w:val="008003FC"/>
    <w:rsid w:val="008031C6"/>
    <w:rsid w:val="00804ACE"/>
    <w:rsid w:val="00810FE5"/>
    <w:rsid w:val="00811613"/>
    <w:rsid w:val="00812196"/>
    <w:rsid w:val="008137CA"/>
    <w:rsid w:val="00813BE4"/>
    <w:rsid w:val="00817D00"/>
    <w:rsid w:val="00821ECA"/>
    <w:rsid w:val="00826DDA"/>
    <w:rsid w:val="008276F7"/>
    <w:rsid w:val="00833BDB"/>
    <w:rsid w:val="00842514"/>
    <w:rsid w:val="00845D6B"/>
    <w:rsid w:val="008461A0"/>
    <w:rsid w:val="00847036"/>
    <w:rsid w:val="0085352A"/>
    <w:rsid w:val="00860006"/>
    <w:rsid w:val="00873212"/>
    <w:rsid w:val="00881CB1"/>
    <w:rsid w:val="00882033"/>
    <w:rsid w:val="008840D8"/>
    <w:rsid w:val="00890709"/>
    <w:rsid w:val="00897469"/>
    <w:rsid w:val="008A35C7"/>
    <w:rsid w:val="008B3381"/>
    <w:rsid w:val="008B6C99"/>
    <w:rsid w:val="008B6D0F"/>
    <w:rsid w:val="008C17C0"/>
    <w:rsid w:val="008C1D33"/>
    <w:rsid w:val="008C5294"/>
    <w:rsid w:val="008C6D33"/>
    <w:rsid w:val="008D3937"/>
    <w:rsid w:val="008D4515"/>
    <w:rsid w:val="008D5E28"/>
    <w:rsid w:val="008D6D7F"/>
    <w:rsid w:val="008E0144"/>
    <w:rsid w:val="008E21CB"/>
    <w:rsid w:val="008E294B"/>
    <w:rsid w:val="008E4365"/>
    <w:rsid w:val="008F136E"/>
    <w:rsid w:val="008F4707"/>
    <w:rsid w:val="008F5282"/>
    <w:rsid w:val="00904795"/>
    <w:rsid w:val="009159B4"/>
    <w:rsid w:val="009160FD"/>
    <w:rsid w:val="0092191D"/>
    <w:rsid w:val="009266E9"/>
    <w:rsid w:val="00926DE9"/>
    <w:rsid w:val="009332FA"/>
    <w:rsid w:val="009345F7"/>
    <w:rsid w:val="0096218A"/>
    <w:rsid w:val="00971915"/>
    <w:rsid w:val="009742A6"/>
    <w:rsid w:val="00974E6A"/>
    <w:rsid w:val="00986553"/>
    <w:rsid w:val="0098797A"/>
    <w:rsid w:val="009928D4"/>
    <w:rsid w:val="009961BA"/>
    <w:rsid w:val="009A4081"/>
    <w:rsid w:val="009A4367"/>
    <w:rsid w:val="009A676B"/>
    <w:rsid w:val="009B0A38"/>
    <w:rsid w:val="009B4644"/>
    <w:rsid w:val="009B7527"/>
    <w:rsid w:val="009D0A0B"/>
    <w:rsid w:val="009D64D4"/>
    <w:rsid w:val="009E038D"/>
    <w:rsid w:val="00A02390"/>
    <w:rsid w:val="00A04218"/>
    <w:rsid w:val="00A06707"/>
    <w:rsid w:val="00A208D0"/>
    <w:rsid w:val="00A21F6B"/>
    <w:rsid w:val="00A22904"/>
    <w:rsid w:val="00A23905"/>
    <w:rsid w:val="00A2476B"/>
    <w:rsid w:val="00A24E11"/>
    <w:rsid w:val="00A26B7A"/>
    <w:rsid w:val="00A37127"/>
    <w:rsid w:val="00A400A5"/>
    <w:rsid w:val="00A42C69"/>
    <w:rsid w:val="00A57BE2"/>
    <w:rsid w:val="00A63E2A"/>
    <w:rsid w:val="00A65E34"/>
    <w:rsid w:val="00A67E07"/>
    <w:rsid w:val="00A808B5"/>
    <w:rsid w:val="00A80AFE"/>
    <w:rsid w:val="00A81CB6"/>
    <w:rsid w:val="00A82BEB"/>
    <w:rsid w:val="00A87286"/>
    <w:rsid w:val="00A95250"/>
    <w:rsid w:val="00A95E7E"/>
    <w:rsid w:val="00AA0A61"/>
    <w:rsid w:val="00AA4C01"/>
    <w:rsid w:val="00AA73F5"/>
    <w:rsid w:val="00AB01CE"/>
    <w:rsid w:val="00AB0E34"/>
    <w:rsid w:val="00AB58B6"/>
    <w:rsid w:val="00AB6813"/>
    <w:rsid w:val="00AC3DED"/>
    <w:rsid w:val="00AC4414"/>
    <w:rsid w:val="00AC7673"/>
    <w:rsid w:val="00AC78E6"/>
    <w:rsid w:val="00AD1934"/>
    <w:rsid w:val="00AD51F4"/>
    <w:rsid w:val="00AF281C"/>
    <w:rsid w:val="00B058D1"/>
    <w:rsid w:val="00B15D6F"/>
    <w:rsid w:val="00B162C7"/>
    <w:rsid w:val="00B22EF7"/>
    <w:rsid w:val="00B267BF"/>
    <w:rsid w:val="00B33946"/>
    <w:rsid w:val="00B35E52"/>
    <w:rsid w:val="00B46E80"/>
    <w:rsid w:val="00B470E1"/>
    <w:rsid w:val="00B62F1E"/>
    <w:rsid w:val="00B63A53"/>
    <w:rsid w:val="00B64364"/>
    <w:rsid w:val="00B66691"/>
    <w:rsid w:val="00B70445"/>
    <w:rsid w:val="00B70C4D"/>
    <w:rsid w:val="00B72E70"/>
    <w:rsid w:val="00B85A02"/>
    <w:rsid w:val="00B91060"/>
    <w:rsid w:val="00BA3286"/>
    <w:rsid w:val="00BA4969"/>
    <w:rsid w:val="00BA6F2F"/>
    <w:rsid w:val="00BB152A"/>
    <w:rsid w:val="00BC105F"/>
    <w:rsid w:val="00BC375F"/>
    <w:rsid w:val="00BC5BF2"/>
    <w:rsid w:val="00BC780A"/>
    <w:rsid w:val="00BE18BC"/>
    <w:rsid w:val="00BE673B"/>
    <w:rsid w:val="00BF038F"/>
    <w:rsid w:val="00BF222E"/>
    <w:rsid w:val="00BF2E15"/>
    <w:rsid w:val="00BF4608"/>
    <w:rsid w:val="00C00CC0"/>
    <w:rsid w:val="00C06AAF"/>
    <w:rsid w:val="00C102FE"/>
    <w:rsid w:val="00C1420C"/>
    <w:rsid w:val="00C17C16"/>
    <w:rsid w:val="00C2000F"/>
    <w:rsid w:val="00C20E6C"/>
    <w:rsid w:val="00C20E9E"/>
    <w:rsid w:val="00C21B4D"/>
    <w:rsid w:val="00C23F73"/>
    <w:rsid w:val="00C307DC"/>
    <w:rsid w:val="00C340C4"/>
    <w:rsid w:val="00C3439D"/>
    <w:rsid w:val="00C36B28"/>
    <w:rsid w:val="00C37605"/>
    <w:rsid w:val="00C403B6"/>
    <w:rsid w:val="00C463CE"/>
    <w:rsid w:val="00C578E6"/>
    <w:rsid w:val="00C62FA4"/>
    <w:rsid w:val="00C64770"/>
    <w:rsid w:val="00C74731"/>
    <w:rsid w:val="00C768D0"/>
    <w:rsid w:val="00C81B46"/>
    <w:rsid w:val="00C8370E"/>
    <w:rsid w:val="00C83984"/>
    <w:rsid w:val="00C96088"/>
    <w:rsid w:val="00CA477F"/>
    <w:rsid w:val="00CB0CF2"/>
    <w:rsid w:val="00CB6EC2"/>
    <w:rsid w:val="00CB7264"/>
    <w:rsid w:val="00CB72C0"/>
    <w:rsid w:val="00CC4045"/>
    <w:rsid w:val="00CC54B8"/>
    <w:rsid w:val="00CD050A"/>
    <w:rsid w:val="00CD143F"/>
    <w:rsid w:val="00CD3B33"/>
    <w:rsid w:val="00CD53CC"/>
    <w:rsid w:val="00CD6E98"/>
    <w:rsid w:val="00CE70AB"/>
    <w:rsid w:val="00CF2AE9"/>
    <w:rsid w:val="00CF5ECE"/>
    <w:rsid w:val="00D00D1A"/>
    <w:rsid w:val="00D1004C"/>
    <w:rsid w:val="00D10B84"/>
    <w:rsid w:val="00D24F0E"/>
    <w:rsid w:val="00D24F8D"/>
    <w:rsid w:val="00D2558E"/>
    <w:rsid w:val="00D3192A"/>
    <w:rsid w:val="00D338AC"/>
    <w:rsid w:val="00D37411"/>
    <w:rsid w:val="00D37FFA"/>
    <w:rsid w:val="00D41360"/>
    <w:rsid w:val="00D416FB"/>
    <w:rsid w:val="00D47920"/>
    <w:rsid w:val="00D56889"/>
    <w:rsid w:val="00D6255C"/>
    <w:rsid w:val="00D6708C"/>
    <w:rsid w:val="00D75286"/>
    <w:rsid w:val="00D8229B"/>
    <w:rsid w:val="00D86CE4"/>
    <w:rsid w:val="00D93B9C"/>
    <w:rsid w:val="00D9554B"/>
    <w:rsid w:val="00D96D74"/>
    <w:rsid w:val="00DA4F6B"/>
    <w:rsid w:val="00DB05A4"/>
    <w:rsid w:val="00DC3980"/>
    <w:rsid w:val="00DC4AC7"/>
    <w:rsid w:val="00DC51C6"/>
    <w:rsid w:val="00DC5222"/>
    <w:rsid w:val="00DD1B68"/>
    <w:rsid w:val="00DD29E1"/>
    <w:rsid w:val="00DD5350"/>
    <w:rsid w:val="00DE04F4"/>
    <w:rsid w:val="00DE2791"/>
    <w:rsid w:val="00DF3DF8"/>
    <w:rsid w:val="00E02022"/>
    <w:rsid w:val="00E07522"/>
    <w:rsid w:val="00E1094C"/>
    <w:rsid w:val="00E14025"/>
    <w:rsid w:val="00E24366"/>
    <w:rsid w:val="00E260AE"/>
    <w:rsid w:val="00E2720C"/>
    <w:rsid w:val="00E32F18"/>
    <w:rsid w:val="00E379DE"/>
    <w:rsid w:val="00E413FD"/>
    <w:rsid w:val="00E5339F"/>
    <w:rsid w:val="00E573FD"/>
    <w:rsid w:val="00E57C0C"/>
    <w:rsid w:val="00E80104"/>
    <w:rsid w:val="00E801DD"/>
    <w:rsid w:val="00E847DF"/>
    <w:rsid w:val="00E861EC"/>
    <w:rsid w:val="00E958CF"/>
    <w:rsid w:val="00E95D50"/>
    <w:rsid w:val="00EA0581"/>
    <w:rsid w:val="00EA0868"/>
    <w:rsid w:val="00EA1B19"/>
    <w:rsid w:val="00EA3B45"/>
    <w:rsid w:val="00EA3D45"/>
    <w:rsid w:val="00EA641A"/>
    <w:rsid w:val="00EC0E32"/>
    <w:rsid w:val="00ED5B22"/>
    <w:rsid w:val="00EE24A7"/>
    <w:rsid w:val="00EE4547"/>
    <w:rsid w:val="00EE7AE9"/>
    <w:rsid w:val="00EF02AA"/>
    <w:rsid w:val="00F06102"/>
    <w:rsid w:val="00F13E29"/>
    <w:rsid w:val="00F1791F"/>
    <w:rsid w:val="00F227F8"/>
    <w:rsid w:val="00F24E40"/>
    <w:rsid w:val="00F27326"/>
    <w:rsid w:val="00F35951"/>
    <w:rsid w:val="00F361D9"/>
    <w:rsid w:val="00F36EF3"/>
    <w:rsid w:val="00F40846"/>
    <w:rsid w:val="00F40F90"/>
    <w:rsid w:val="00F45692"/>
    <w:rsid w:val="00F610BF"/>
    <w:rsid w:val="00F615C0"/>
    <w:rsid w:val="00F72080"/>
    <w:rsid w:val="00F728E6"/>
    <w:rsid w:val="00F7702A"/>
    <w:rsid w:val="00F9571F"/>
    <w:rsid w:val="00F97EB3"/>
    <w:rsid w:val="00FA0613"/>
    <w:rsid w:val="00FA43E4"/>
    <w:rsid w:val="00FA4B45"/>
    <w:rsid w:val="00FB26E9"/>
    <w:rsid w:val="00FB29A3"/>
    <w:rsid w:val="00FD303A"/>
    <w:rsid w:val="00FE36AD"/>
    <w:rsid w:val="00FE3A12"/>
    <w:rsid w:val="00FE5B31"/>
    <w:rsid w:val="00FE65D2"/>
    <w:rsid w:val="00FF0BE2"/>
    <w:rsid w:val="00FF1B3A"/>
    <w:rsid w:val="00FF57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A69C2F"/>
  <w15:docId w15:val="{DE4C2F53-D993-499A-A7BC-30989C25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3980"/>
  </w:style>
  <w:style w:type="paragraph" w:styleId="berschrift1">
    <w:name w:val="heading 1"/>
    <w:basedOn w:val="Standard"/>
    <w:next w:val="Standard"/>
    <w:link w:val="berschrift1Zchn"/>
    <w:uiPriority w:val="9"/>
    <w:qFormat/>
    <w:rsid w:val="001E27E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E27E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1E27E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1E27E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1E27E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1E27E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unhideWhenUsed/>
    <w:qFormat/>
    <w:rsid w:val="001E27E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unhideWhenUsed/>
    <w:qFormat/>
    <w:rsid w:val="001E27E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1E27E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27EA"/>
    <w:pPr>
      <w:ind w:left="720"/>
      <w:contextualSpacing/>
    </w:pPr>
  </w:style>
  <w:style w:type="character" w:customStyle="1" w:styleId="berschrift1Zchn">
    <w:name w:val="Überschrift 1 Zchn"/>
    <w:basedOn w:val="Absatz-Standardschriftart"/>
    <w:link w:val="berschrift1"/>
    <w:uiPriority w:val="9"/>
    <w:rsid w:val="001E27EA"/>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1E27EA"/>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1E27EA"/>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1E27EA"/>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rsid w:val="001E27E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rsid w:val="001E27E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rsid w:val="001E27E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rsid w:val="001E27E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1E27EA"/>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3F58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5891"/>
  </w:style>
  <w:style w:type="paragraph" w:styleId="Fuzeile">
    <w:name w:val="footer"/>
    <w:basedOn w:val="Standard"/>
    <w:link w:val="FuzeileZchn"/>
    <w:uiPriority w:val="99"/>
    <w:unhideWhenUsed/>
    <w:rsid w:val="003F58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5891"/>
  </w:style>
  <w:style w:type="paragraph" w:styleId="Sprechblasentext">
    <w:name w:val="Balloon Text"/>
    <w:basedOn w:val="Standard"/>
    <w:link w:val="SprechblasentextZchn"/>
    <w:uiPriority w:val="99"/>
    <w:semiHidden/>
    <w:unhideWhenUsed/>
    <w:rsid w:val="00627B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7B51"/>
    <w:rPr>
      <w:rFonts w:ascii="Segoe UI" w:hAnsi="Segoe UI" w:cs="Segoe UI"/>
      <w:sz w:val="18"/>
      <w:szCs w:val="18"/>
    </w:rPr>
  </w:style>
  <w:style w:type="paragraph" w:styleId="Funotentext">
    <w:name w:val="footnote text"/>
    <w:basedOn w:val="Standard"/>
    <w:link w:val="FunotentextZchn"/>
    <w:uiPriority w:val="99"/>
    <w:semiHidden/>
    <w:unhideWhenUsed/>
    <w:rsid w:val="00A0670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06707"/>
    <w:rPr>
      <w:sz w:val="20"/>
      <w:szCs w:val="20"/>
    </w:rPr>
  </w:style>
  <w:style w:type="character" w:styleId="Funotenzeichen">
    <w:name w:val="footnote reference"/>
    <w:basedOn w:val="Absatz-Standardschriftart"/>
    <w:uiPriority w:val="99"/>
    <w:semiHidden/>
    <w:unhideWhenUsed/>
    <w:rsid w:val="00A06707"/>
    <w:rPr>
      <w:vertAlign w:val="superscript"/>
    </w:rPr>
  </w:style>
  <w:style w:type="character" w:styleId="Kommentarzeichen">
    <w:name w:val="annotation reference"/>
    <w:basedOn w:val="Absatz-Standardschriftart"/>
    <w:uiPriority w:val="99"/>
    <w:semiHidden/>
    <w:unhideWhenUsed/>
    <w:rsid w:val="00C06AAF"/>
    <w:rPr>
      <w:sz w:val="16"/>
      <w:szCs w:val="16"/>
    </w:rPr>
  </w:style>
  <w:style w:type="paragraph" w:styleId="Kommentartext">
    <w:name w:val="annotation text"/>
    <w:basedOn w:val="Standard"/>
    <w:link w:val="KommentartextZchn"/>
    <w:uiPriority w:val="99"/>
    <w:unhideWhenUsed/>
    <w:rsid w:val="00C06AAF"/>
    <w:pPr>
      <w:spacing w:line="240" w:lineRule="auto"/>
    </w:pPr>
    <w:rPr>
      <w:sz w:val="20"/>
      <w:szCs w:val="20"/>
    </w:rPr>
  </w:style>
  <w:style w:type="character" w:customStyle="1" w:styleId="KommentartextZchn">
    <w:name w:val="Kommentartext Zchn"/>
    <w:basedOn w:val="Absatz-Standardschriftart"/>
    <w:link w:val="Kommentartext"/>
    <w:uiPriority w:val="99"/>
    <w:rsid w:val="00C06AAF"/>
    <w:rPr>
      <w:sz w:val="20"/>
      <w:szCs w:val="20"/>
    </w:rPr>
  </w:style>
  <w:style w:type="paragraph" w:styleId="Kommentarthema">
    <w:name w:val="annotation subject"/>
    <w:basedOn w:val="Kommentartext"/>
    <w:next w:val="Kommentartext"/>
    <w:link w:val="KommentarthemaZchn"/>
    <w:uiPriority w:val="99"/>
    <w:semiHidden/>
    <w:unhideWhenUsed/>
    <w:rsid w:val="00C06AAF"/>
    <w:rPr>
      <w:b/>
      <w:bCs/>
    </w:rPr>
  </w:style>
  <w:style w:type="character" w:customStyle="1" w:styleId="KommentarthemaZchn">
    <w:name w:val="Kommentarthema Zchn"/>
    <w:basedOn w:val="KommentartextZchn"/>
    <w:link w:val="Kommentarthema"/>
    <w:uiPriority w:val="99"/>
    <w:semiHidden/>
    <w:rsid w:val="00C06AAF"/>
    <w:rPr>
      <w:b/>
      <w:bCs/>
      <w:sz w:val="20"/>
      <w:szCs w:val="20"/>
    </w:rPr>
  </w:style>
  <w:style w:type="character" w:styleId="Hyperlink">
    <w:name w:val="Hyperlink"/>
    <w:basedOn w:val="Absatz-Standardschriftart"/>
    <w:uiPriority w:val="99"/>
    <w:unhideWhenUsed/>
    <w:rsid w:val="004F4163"/>
    <w:rPr>
      <w:color w:val="0563C1" w:themeColor="hyperlink"/>
      <w:u w:val="single"/>
    </w:rPr>
  </w:style>
  <w:style w:type="character" w:styleId="BesuchterHyperlink">
    <w:name w:val="FollowedHyperlink"/>
    <w:basedOn w:val="Absatz-Standardschriftart"/>
    <w:uiPriority w:val="99"/>
    <w:semiHidden/>
    <w:unhideWhenUsed/>
    <w:rsid w:val="00CC54B8"/>
    <w:rPr>
      <w:color w:val="954F72" w:themeColor="followedHyperlink"/>
      <w:u w:val="single"/>
    </w:rPr>
  </w:style>
  <w:style w:type="table" w:styleId="Tabellenraster">
    <w:name w:val="Table Grid"/>
    <w:basedOn w:val="NormaleTabelle"/>
    <w:uiPriority w:val="39"/>
    <w:rsid w:val="00FE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836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818F5-9EDC-4B6D-BDB2-B80545D1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91630070.dotm</Template>
  <TotalTime>0</TotalTime>
  <Pages>2</Pages>
  <Words>802</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Bundesministerium für Gesundheit</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Braubach Dr., Angela -413 BMG</dc:creator>
  <cp:lastModifiedBy>Berringer Dr., Christian -413 BMG</cp:lastModifiedBy>
  <cp:revision>2</cp:revision>
  <cp:lastPrinted>2020-10-16T10:44:00Z</cp:lastPrinted>
  <dcterms:created xsi:type="dcterms:W3CDTF">2020-10-16T17:44:00Z</dcterms:created>
  <dcterms:modified xsi:type="dcterms:W3CDTF">2020-10-16T17:44:00Z</dcterms:modified>
</cp:coreProperties>
</file>