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6E2C8" w14:textId="77777777" w:rsidR="0015642F" w:rsidRDefault="00755011" w:rsidP="0015642F">
      <w:pPr>
        <w:pStyle w:val="berschrift2"/>
        <w:numPr>
          <w:ilvl w:val="0"/>
          <w:numId w:val="0"/>
        </w:numPr>
        <w:rPr>
          <w:b/>
        </w:rPr>
      </w:pPr>
      <w:r>
        <w:rPr>
          <w:b/>
        </w:rPr>
        <w:t xml:space="preserve">Weitere Hinweise zur Planung und </w:t>
      </w:r>
      <w:r w:rsidR="0015642F" w:rsidRPr="00AA72A7">
        <w:rPr>
          <w:b/>
        </w:rPr>
        <w:t>Durchführung von PoC-Antigen-Tests</w:t>
      </w:r>
    </w:p>
    <w:p w14:paraId="1BA7084C" w14:textId="77777777" w:rsidR="0015642F" w:rsidRPr="0015642F" w:rsidRDefault="0015642F" w:rsidP="0015642F"/>
    <w:p w14:paraId="71F605FA" w14:textId="77777777" w:rsidR="0015642F" w:rsidRPr="00E24366" w:rsidRDefault="0015642F" w:rsidP="0015642F">
      <w:pPr>
        <w:pStyle w:val="berschrift3"/>
        <w:numPr>
          <w:ilvl w:val="0"/>
          <w:numId w:val="0"/>
        </w:numPr>
        <w:ind w:left="720" w:hanging="720"/>
      </w:pPr>
      <w:bookmarkStart w:id="0" w:name="_Ref53178701"/>
      <w:r>
        <w:t xml:space="preserve">1. </w:t>
      </w:r>
      <w:r w:rsidRPr="00E24366">
        <w:t>Personalauswahl zur Durchführung von PoC-Antigen-Tests</w:t>
      </w:r>
      <w:bookmarkEnd w:id="0"/>
    </w:p>
    <w:p w14:paraId="611AC21A" w14:textId="7D5AA3E2" w:rsidR="0040532F" w:rsidRDefault="0015642F" w:rsidP="0015642F">
      <w:r>
        <w:t xml:space="preserve">PoC-Antigentests dürfen entsprechend ihrer Gebrauchsinformation („Beipackzettel“) von medizinischem Fachpersonal durchgeführt werden. Pflegefachkräfte (insb. aus dem Bereich der Kinderkranken-, Kranken-, Gesundheits- und Altenpflege) mit abgeschlossener </w:t>
      </w:r>
      <w:r w:rsidRPr="00CD53CC">
        <w:t xml:space="preserve">3-jähriger Berufsausbildung gelten als medizinisches Fachpersonal i. S. der </w:t>
      </w:r>
      <w:r>
        <w:t>Gebrauchsinformation</w:t>
      </w:r>
      <w:r w:rsidRPr="00CD53CC">
        <w:t xml:space="preserve"> der Antigentests und sind </w:t>
      </w:r>
      <w:r>
        <w:t xml:space="preserve">(nach Anleitung) </w:t>
      </w:r>
      <w:r w:rsidRPr="00CD53CC">
        <w:t xml:space="preserve">berechtigt, </w:t>
      </w:r>
      <w:r>
        <w:t>diese</w:t>
      </w:r>
      <w:r w:rsidRPr="00CD53CC">
        <w:t xml:space="preserve"> durchzuführen</w:t>
      </w:r>
      <w:r>
        <w:t>.</w:t>
      </w:r>
    </w:p>
    <w:p w14:paraId="5A954BF1" w14:textId="25F98223" w:rsidR="0015642F" w:rsidRDefault="0015642F" w:rsidP="0015642F">
      <w:r w:rsidRPr="00CD53CC">
        <w:t>Eine Einweisung der Pflegefachkr</w:t>
      </w:r>
      <w:r>
        <w:t>a</w:t>
      </w:r>
      <w:r w:rsidRPr="00CD53CC">
        <w:t>ft</w:t>
      </w:r>
      <w:r>
        <w:t>/des medizinischen Fachpersonals</w:t>
      </w:r>
      <w:r w:rsidRPr="00CD53CC">
        <w:t xml:space="preserve"> in die </w:t>
      </w:r>
      <w:r>
        <w:t>Anwendung des als Medizinprodukt geltenden „PoC-Antigen-Tests“</w:t>
      </w:r>
      <w:r w:rsidRPr="00CD53CC">
        <w:t xml:space="preserve"> ist </w:t>
      </w:r>
      <w:r>
        <w:t xml:space="preserve">gemäß </w:t>
      </w:r>
      <w:r w:rsidRPr="00395262">
        <w:t xml:space="preserve">§ 4 Absatz 3 der Medizinprodukte-Betreiberverordnung </w:t>
      </w:r>
      <w:r w:rsidRPr="00CD53CC">
        <w:t>erforderlich</w:t>
      </w:r>
      <w:r>
        <w:t>. Die Organisation</w:t>
      </w:r>
      <w:r w:rsidRPr="00CD53CC">
        <w:t xml:space="preserve"> </w:t>
      </w:r>
      <w:r>
        <w:t xml:space="preserve">der Einweisung </w:t>
      </w:r>
      <w:r w:rsidRPr="00CD53CC">
        <w:t xml:space="preserve">liegt im Zuständigkeitsbereich </w:t>
      </w:r>
      <w:r w:rsidR="00087E52">
        <w:t xml:space="preserve">der </w:t>
      </w:r>
      <w:r>
        <w:t xml:space="preserve">Pflegeeinrichtungen. Die Einweisung </w:t>
      </w:r>
      <w:r w:rsidR="00087E52">
        <w:t>hat</w:t>
      </w:r>
      <w:r>
        <w:t xml:space="preserve"> unter Berücksichtigung der </w:t>
      </w:r>
      <w:r w:rsidRPr="00CD53CC">
        <w:t>Hersteller</w:t>
      </w:r>
      <w:r>
        <w:t>vorgaben</w:t>
      </w:r>
      <w:r w:rsidR="00087E52">
        <w:t xml:space="preserve"> zu erfolgen</w:t>
      </w:r>
      <w:r w:rsidRPr="00CD53CC">
        <w:t>.</w:t>
      </w:r>
    </w:p>
    <w:p w14:paraId="2C8F36FE" w14:textId="700234F4" w:rsidR="0015642F" w:rsidRPr="00E24366" w:rsidRDefault="00087E52" w:rsidP="0015642F">
      <w:pPr>
        <w:pStyle w:val="berschrift3"/>
        <w:numPr>
          <w:ilvl w:val="0"/>
          <w:numId w:val="0"/>
        </w:numPr>
      </w:pPr>
      <w:bookmarkStart w:id="1" w:name="_Ref53178763"/>
      <w:r>
        <w:t>2</w:t>
      </w:r>
      <w:r w:rsidR="0015642F">
        <w:t xml:space="preserve">. </w:t>
      </w:r>
      <w:r w:rsidR="00B94C42">
        <w:t xml:space="preserve">Infektions- und </w:t>
      </w:r>
      <w:r w:rsidR="0015642F" w:rsidRPr="00E24366">
        <w:t>Arbeitsschutzmaßnahmen zur Anwendung von PoC-Antigen-Tests</w:t>
      </w:r>
      <w:bookmarkEnd w:id="1"/>
      <w:r w:rsidR="0015642F">
        <w:t xml:space="preserve"> und Abfallentsorgung</w:t>
      </w:r>
    </w:p>
    <w:p w14:paraId="0D3D6AF8" w14:textId="77777777" w:rsidR="00B94C42" w:rsidRDefault="0015642F" w:rsidP="0015642F">
      <w:r>
        <w:t xml:space="preserve">Bei der Anwendung der PoC-Antigen-Tests </w:t>
      </w:r>
      <w:r w:rsidR="00B94C42">
        <w:t xml:space="preserve">bleiben </w:t>
      </w:r>
      <w:r w:rsidR="00B94C42" w:rsidRPr="00B94C42">
        <w:t>die RKI-Empfehlungen „Prävention und Management von COVID-19 in Alten- und Pflegeeinrichtungen und Einrichtungen für Menschen mit Beeinträchtigungen und Behinderungen“ (https://www.rki.de/DE/Content/InfAZ/N/Neuartiges_Coronavirus/Alten_Pflegeeinrichtung_Empfehlung.pdf?__blob=publicationFile) und „Hinweise für ambulante Pflegedienste im Rahmen der COVID-19-Pandemie“ (https://www.rki.de/DE/Content/InfAZ/N/Neuartiges_Coronavirus/Altenpflegeheime.html) relevant.</w:t>
      </w:r>
    </w:p>
    <w:p w14:paraId="083D6485" w14:textId="77777777" w:rsidR="0015642F" w:rsidRDefault="00B94C42" w:rsidP="0015642F">
      <w:r>
        <w:t xml:space="preserve">Auch </w:t>
      </w:r>
      <w:r w:rsidR="0015642F">
        <w:t xml:space="preserve">ist die </w:t>
      </w:r>
      <w:r w:rsidR="0015642F" w:rsidRPr="00CD53CC">
        <w:t>ABAS-Empfehlung zu „Arbeitsschutzmaßnahmen bei der Point-of</w:t>
      </w:r>
      <w:r w:rsidR="0015642F">
        <w:t>-</w:t>
      </w:r>
      <w:r w:rsidR="0015642F" w:rsidRPr="00CD53CC">
        <w:t>Care-SARS-CoV-2 Diagnostik“</w:t>
      </w:r>
      <w:r w:rsidR="0015642F">
        <w:t xml:space="preserve"> zu beachten (</w:t>
      </w:r>
      <w:r w:rsidR="0015642F" w:rsidRPr="004F4163">
        <w:t>https://www.baua.de/DE/Themen/Arbeitsgestaltung-im-Betrieb/Coronavirus/pdf/Point-Of-Care-SARS-CoV-2%20Diagnostik.pdf?__blob=publicationFile&amp;v=2</w:t>
      </w:r>
      <w:r w:rsidR="0015642F">
        <w:t xml:space="preserve">). Während der Durchführung des Testabstrichs ist das Tragen von Schutzausrüstung erforderlich. Hierzu gehören mindestens FFP2-Masken oder vergleichbare Atemschutzmasken sowie </w:t>
      </w:r>
      <w:r w:rsidR="0015642F" w:rsidRPr="00CB7264">
        <w:t>Handschuhe</w:t>
      </w:r>
      <w:r w:rsidR="0015642F">
        <w:t xml:space="preserve"> und z. B.</w:t>
      </w:r>
      <w:r w:rsidR="0015642F" w:rsidRPr="00CB7264">
        <w:t xml:space="preserve"> Schutzkittel und Schutzbrille</w:t>
      </w:r>
      <w:r w:rsidR="0015642F">
        <w:t>n oder Visiere</w:t>
      </w:r>
      <w:r w:rsidR="0015642F" w:rsidRPr="00CB7264">
        <w:t>.</w:t>
      </w:r>
    </w:p>
    <w:p w14:paraId="3645ED2D" w14:textId="77777777" w:rsidR="0015642F" w:rsidRDefault="0015642F" w:rsidP="0015642F">
      <w:r>
        <w:t xml:space="preserve">Wenn es während einer Testung zu einer Kontamination der Schutzausrüstung kommt, ist diese zu wechseln, um eine </w:t>
      </w:r>
      <w:r w:rsidRPr="00690146">
        <w:t>Kontamination der Umgebung</w:t>
      </w:r>
      <w:r>
        <w:t xml:space="preserve"> auszuschließen.</w:t>
      </w:r>
      <w:r w:rsidR="00583CF0">
        <w:t xml:space="preserve"> </w:t>
      </w:r>
      <w:r>
        <w:t xml:space="preserve">Nach der Testdurchführung sind der feste und flüssige Abfall entsprechend der genannten </w:t>
      </w:r>
      <w:r w:rsidRPr="00CB7264">
        <w:t>ABAS-Empfehlung „Arbeitsschutzmaßnahmen bei der Point-of-Care-SARS-CoV-2 Diagnostik</w:t>
      </w:r>
      <w:r>
        <w:t>“ zu entsorgen.</w:t>
      </w:r>
    </w:p>
    <w:p w14:paraId="33A8AD4B" w14:textId="3C29BEB3" w:rsidR="0015642F" w:rsidRDefault="00087E52" w:rsidP="0015642F">
      <w:pPr>
        <w:pStyle w:val="berschrift3"/>
        <w:numPr>
          <w:ilvl w:val="0"/>
          <w:numId w:val="0"/>
        </w:numPr>
      </w:pPr>
      <w:r>
        <w:t>3</w:t>
      </w:r>
      <w:r w:rsidR="0015642F">
        <w:t xml:space="preserve">. </w:t>
      </w:r>
      <w:r w:rsidR="00755011">
        <w:t>Testfrequenz</w:t>
      </w:r>
      <w:r w:rsidR="0015642F">
        <w:t xml:space="preserve"> </w:t>
      </w:r>
      <w:r w:rsidR="00366E00">
        <w:t xml:space="preserve">und Testplanung </w:t>
      </w:r>
      <w:r w:rsidR="0015642F">
        <w:t>von PoC-Antigen-Tests</w:t>
      </w:r>
    </w:p>
    <w:p w14:paraId="690CD6D5" w14:textId="31914D91" w:rsidR="00CC0272" w:rsidRDefault="00755011" w:rsidP="00755011">
      <w:pPr>
        <w:rPr>
          <w:rFonts w:ascii="Arial" w:hAnsi="Arial" w:cs="Arial"/>
        </w:rPr>
      </w:pPr>
      <w:r>
        <w:t xml:space="preserve">In der Test-Verordnung ist festgelegt, dass </w:t>
      </w:r>
      <w:r w:rsidR="0040532F" w:rsidRPr="0040532F">
        <w:t xml:space="preserve">Testungen </w:t>
      </w:r>
      <w:r w:rsidR="00A10509">
        <w:t>von Beschäftigten, Pflegebedürftigen und Besuchern</w:t>
      </w:r>
      <w:r w:rsidR="0040532F" w:rsidRPr="0040532F">
        <w:t xml:space="preserve"> für jeden Einzelfall einmal pro Woche wiederholt werden</w:t>
      </w:r>
      <w:r w:rsidR="00A10509">
        <w:t xml:space="preserve"> können; d.h. eine wöchentliche Testung mit </w:t>
      </w:r>
      <w:r w:rsidR="00A10509" w:rsidRPr="00A10509">
        <w:t>PoC-Antigen-Tests</w:t>
      </w:r>
      <w:r w:rsidR="00A10509">
        <w:t xml:space="preserve"> ist </w:t>
      </w:r>
      <w:r w:rsidR="00DA1271">
        <w:t xml:space="preserve">ggf. </w:t>
      </w:r>
      <w:r w:rsidR="00A10509">
        <w:t>einzuplanen.</w:t>
      </w:r>
      <w:r w:rsidR="00A10509" w:rsidRPr="00A10509">
        <w:rPr>
          <w:rFonts w:ascii="Arial" w:hAnsi="Arial" w:cs="Arial"/>
        </w:rPr>
        <w:t xml:space="preserve"> </w:t>
      </w:r>
    </w:p>
    <w:p w14:paraId="2C9A9940" w14:textId="77777777" w:rsidR="00087E52" w:rsidRDefault="00087E52" w:rsidP="00755011">
      <w:r>
        <w:t>Als Besucher gelten dabei Personen, die nicht in der Einrichtung tätig, sondern aus sonstigen Gründen anwesend sind, z. B. als besuchende Angehörige. Hier kommt es auf gute interne Planung und gute externe Kommunikation an. Für besuchende An- und Zugehörige von Pflegebedürftigen sind auch am Wochenende Testmöglichkeiten anzubieten. In die Besuchskonzepte sollten auch Zeiten und Termine für Testungen einbezogen und abgesprochen werden, um Wartezeiten zu vermeiden.</w:t>
      </w:r>
    </w:p>
    <w:p w14:paraId="41F5E6FE" w14:textId="77777777" w:rsidR="00087E52" w:rsidRDefault="00087E52" w:rsidP="00755011"/>
    <w:p w14:paraId="11AB87B3" w14:textId="526AF884" w:rsidR="00087E52" w:rsidRDefault="00087E52" w:rsidP="00087E52">
      <w:r>
        <w:lastRenderedPageBreak/>
        <w:t xml:space="preserve">Auch in der Einrichtung tätige, aber dort nicht dauerhaft beschäftigte Personen </w:t>
      </w:r>
      <w:r w:rsidR="00CC0272">
        <w:t xml:space="preserve">wie z. B. Therapeutinnen und Therapeuten, Ärztinnen und Ärzte, rechtlichen Betreuerinnen und Betreuer, Handwerkerinnen und Handwerker oder Frisörinnen und Frisöre </w:t>
      </w:r>
      <w:r>
        <w:t>können als „Besuchsperson“ getestet werden. Dies ist im einrichtungs-/unternehmensspezifischen Besuchskonzept festzulegen.</w:t>
      </w:r>
    </w:p>
    <w:p w14:paraId="2E45666B" w14:textId="0F1F92A1" w:rsidR="00366E00" w:rsidRDefault="00FA0A6D" w:rsidP="00366E00">
      <w:r>
        <w:t xml:space="preserve">Hinweis: </w:t>
      </w:r>
      <w:r>
        <w:t xml:space="preserve">Für </w:t>
      </w:r>
      <w:r>
        <w:t>a</w:t>
      </w:r>
      <w:r w:rsidRPr="00FA0A6D">
        <w:t xml:space="preserve">symptomatische </w:t>
      </w:r>
      <w:r w:rsidRPr="00A10509">
        <w:t>Personen</w:t>
      </w:r>
      <w:r w:rsidR="00A10509" w:rsidRPr="00A10509">
        <w:t>, die in Einrichtungen oder Unternehmen zukünftig behandelt, betreut, gepflegt oder untergebracht werden sollen</w:t>
      </w:r>
      <w:r w:rsidRPr="00FA0A6D">
        <w:t xml:space="preserve"> ist der Anspruch nicht auf PoC</w:t>
      </w:r>
      <w:r>
        <w:t>-Tests beschränkt</w:t>
      </w:r>
      <w:r w:rsidR="00A10509" w:rsidRPr="00A10509">
        <w:t xml:space="preserve">. </w:t>
      </w:r>
      <w:r w:rsidR="00A10509">
        <w:t>Dazu</w:t>
      </w:r>
      <w:r w:rsidR="00A10509" w:rsidRPr="00A10509">
        <w:t xml:space="preserve"> zählen </w:t>
      </w:r>
      <w:r w:rsidR="00A10509">
        <w:t>ggf. auch Begleit- und Assis</w:t>
      </w:r>
      <w:r w:rsidR="00A10509" w:rsidRPr="00A10509">
        <w:t xml:space="preserve">tenzpersonen. Die Regelung erfasst </w:t>
      </w:r>
      <w:r w:rsidR="00087E52">
        <w:t>ebenfalls</w:t>
      </w:r>
      <w:r w:rsidR="00A10509" w:rsidRPr="00A10509">
        <w:t xml:space="preserve"> die Personen, die beispielsweise nach einem Krankenhausaufenthalt wieder in die Einrichtung aufgenommen werden.</w:t>
      </w:r>
      <w:r w:rsidRPr="00FA0A6D">
        <w:t xml:space="preserve"> </w:t>
      </w:r>
      <w:r>
        <w:t>Bei diesen</w:t>
      </w:r>
      <w:r w:rsidRPr="00FA0A6D">
        <w:t xml:space="preserve"> </w:t>
      </w:r>
      <w:r>
        <w:t xml:space="preserve">sind </w:t>
      </w:r>
      <w:r w:rsidRPr="00FA0A6D">
        <w:t>PCR</w:t>
      </w:r>
      <w:r>
        <w:t>-Tests möglich und auch d</w:t>
      </w:r>
      <w:r w:rsidRPr="00FA0A6D">
        <w:t xml:space="preserve">ie Teststrategie nennt </w:t>
      </w:r>
      <w:r>
        <w:t xml:space="preserve">dies </w:t>
      </w:r>
      <w:r w:rsidRPr="00FA0A6D">
        <w:t>als erste Wahl</w:t>
      </w:r>
      <w:r>
        <w:t>.</w:t>
      </w:r>
    </w:p>
    <w:p w14:paraId="3776E5FF" w14:textId="6611E4A8" w:rsidR="00755011" w:rsidRPr="00755011" w:rsidRDefault="00087E52" w:rsidP="00755011">
      <w:pPr>
        <w:keepNext/>
        <w:keepLines/>
        <w:spacing w:before="40" w:after="0"/>
        <w:outlineLvl w:val="2"/>
        <w:rPr>
          <w:rFonts w:asciiTheme="majorHAnsi" w:eastAsiaTheme="majorEastAsia" w:hAnsiTheme="majorHAnsi" w:cstheme="majorBidi"/>
          <w:color w:val="1F4D78" w:themeColor="accent1" w:themeShade="7F"/>
          <w:sz w:val="24"/>
          <w:szCs w:val="24"/>
        </w:rPr>
      </w:pPr>
      <w:r>
        <w:rPr>
          <w:rFonts w:asciiTheme="majorHAnsi" w:eastAsiaTheme="majorEastAsia" w:hAnsiTheme="majorHAnsi" w:cstheme="majorBidi"/>
          <w:color w:val="1F4D78" w:themeColor="accent1" w:themeShade="7F"/>
          <w:sz w:val="24"/>
          <w:szCs w:val="24"/>
        </w:rPr>
        <w:t>4</w:t>
      </w:r>
      <w:r w:rsidR="00755011" w:rsidRPr="00755011">
        <w:rPr>
          <w:rFonts w:asciiTheme="majorHAnsi" w:eastAsiaTheme="majorEastAsia" w:hAnsiTheme="majorHAnsi" w:cstheme="majorBidi"/>
          <w:color w:val="1F4D78" w:themeColor="accent1" w:themeShade="7F"/>
          <w:sz w:val="24"/>
          <w:szCs w:val="24"/>
        </w:rPr>
        <w:t>. Zeitdauer der Testdurchführung von PoC-Antigen-Tests</w:t>
      </w:r>
    </w:p>
    <w:p w14:paraId="67623A48" w14:textId="12BB2941" w:rsidR="0015642F" w:rsidRDefault="0015642F" w:rsidP="0015642F">
      <w:r>
        <w:t>Die Anwendung eines PoC-Antigen-Tests dauert je nach Hersteller insgesamt etwa 20 Minuten. Nach der Entnahme eines Abstrichs ist entsprechend der Einweisung bzw. der Gebrauchsinformation des jeweiligen Produktes die Analyse dieses Abstrichs vorzunehmen.</w:t>
      </w:r>
    </w:p>
    <w:p w14:paraId="3E62C368" w14:textId="312A685F" w:rsidR="0015642F" w:rsidRDefault="00087E52" w:rsidP="0015642F">
      <w:pPr>
        <w:pStyle w:val="berschrift3"/>
        <w:numPr>
          <w:ilvl w:val="0"/>
          <w:numId w:val="0"/>
        </w:numPr>
      </w:pPr>
      <w:bookmarkStart w:id="2" w:name="_Ref53179349"/>
      <w:r>
        <w:t>5</w:t>
      </w:r>
      <w:r w:rsidR="0015642F">
        <w:t>. Auswahl geeigneter Räumlichkeiten</w:t>
      </w:r>
      <w:bookmarkEnd w:id="2"/>
    </w:p>
    <w:p w14:paraId="6DEF5228" w14:textId="77777777" w:rsidR="0015642F" w:rsidRDefault="0015642F" w:rsidP="0015642F">
      <w:r>
        <w:t xml:space="preserve">Sowohl für die Testung als auch für </w:t>
      </w:r>
      <w:r w:rsidR="00714F27">
        <w:t xml:space="preserve">die </w:t>
      </w:r>
      <w:r w:rsidR="00714F27" w:rsidRPr="00714F27">
        <w:t>Wartezeit</w:t>
      </w:r>
      <w:r w:rsidR="00714F27">
        <w:t xml:space="preserve"> sollten </w:t>
      </w:r>
      <w:r>
        <w:t>geeignete Räumlichkeiten bereit</w:t>
      </w:r>
      <w:r w:rsidR="00714F27">
        <w:t>ge</w:t>
      </w:r>
      <w:r>
        <w:t>stell</w:t>
      </w:r>
      <w:r w:rsidR="00714F27">
        <w:t>t werden</w:t>
      </w:r>
      <w:r>
        <w:t xml:space="preserve">, </w:t>
      </w:r>
      <w:r w:rsidR="00714F27" w:rsidRPr="00714F27">
        <w:t>in denen Besuchspersonen sich vor der Entnahme des Abstrichs sowie</w:t>
      </w:r>
      <w:r w:rsidR="00714F27">
        <w:t xml:space="preserve"> im Zeitraum</w:t>
      </w:r>
      <w:r w:rsidR="00714F27" w:rsidRPr="00714F27">
        <w:t>, bis das Testergebnis vorliegt, aufhalten können</w:t>
      </w:r>
      <w:r w:rsidR="00714F27">
        <w:t>,</w:t>
      </w:r>
      <w:r w:rsidR="00714F27" w:rsidRPr="00714F27">
        <w:t xml:space="preserve"> ohne einem erhöhten Infektionsrisiko ausgesetzt zu sein bzw. ohne eine evtl. bestehende Infektion zu übertragen. Zu berücksichtigen sind ggfls. </w:t>
      </w:r>
      <w:r w:rsidR="00714F27">
        <w:t>auch Stoßzeiten an Wochenenden. E</w:t>
      </w:r>
      <w:r>
        <w:t xml:space="preserve">ine </w:t>
      </w:r>
      <w:r w:rsidR="00714F27">
        <w:t xml:space="preserve">gute </w:t>
      </w:r>
      <w:r>
        <w:t>Beschilderung</w:t>
      </w:r>
      <w:r w:rsidR="00714F27">
        <w:t xml:space="preserve"> kann helfen</w:t>
      </w:r>
      <w:r>
        <w:t>.</w:t>
      </w:r>
    </w:p>
    <w:p w14:paraId="112FBF85" w14:textId="54E05178" w:rsidR="0015642F" w:rsidRDefault="00087E52" w:rsidP="0015642F">
      <w:pPr>
        <w:pStyle w:val="berschrift3"/>
        <w:numPr>
          <w:ilvl w:val="0"/>
          <w:numId w:val="0"/>
        </w:numPr>
      </w:pPr>
      <w:bookmarkStart w:id="3" w:name="_Ref53179635"/>
      <w:r>
        <w:t>6</w:t>
      </w:r>
      <w:r w:rsidR="0015642F">
        <w:t xml:space="preserve">. </w:t>
      </w:r>
      <w:r w:rsidR="00E5329D">
        <w:t xml:space="preserve">Ambulante Pflege: </w:t>
      </w:r>
      <w:r w:rsidR="0015642F">
        <w:t>Festlegung einer Routenplanung für die Testung durch ambulante Pflegedienste</w:t>
      </w:r>
      <w:bookmarkEnd w:id="3"/>
      <w:r w:rsidR="0015642F">
        <w:t>/Angebote zur Unterstützung im Alltag</w:t>
      </w:r>
    </w:p>
    <w:p w14:paraId="6FD315E0" w14:textId="77777777" w:rsidR="0015642F" w:rsidRDefault="0015642F" w:rsidP="0015642F">
      <w:r>
        <w:t>Bei der Routenplanung für die PoC-Antigen-Testung ambulant Gepflegter bzw. durch Angebote zur Unterstützung im Alltag Betreuter ist vorab zu klären, dass diese zuhause erreichbar sind. Alternativ kann die Testung im Rahmen der Routine-Pflege bzw. –Betreuung erfolgen, sofern diese von für die Testung geeignetem Personal durchgeführt wird.</w:t>
      </w:r>
    </w:p>
    <w:p w14:paraId="0FFB13EF" w14:textId="77777777" w:rsidR="00B94C42" w:rsidRDefault="0015642F" w:rsidP="00B94C42">
      <w:r>
        <w:t>Ausreichende Schutzausrüstung sowie evtl. zusätzliches Personal sind mit einzuplanen.</w:t>
      </w:r>
    </w:p>
    <w:p w14:paraId="1D358958" w14:textId="533635DF" w:rsidR="0015642F" w:rsidRDefault="004169DE" w:rsidP="0015642F">
      <w:pPr>
        <w:pStyle w:val="berschrift3"/>
        <w:numPr>
          <w:ilvl w:val="0"/>
          <w:numId w:val="0"/>
        </w:numPr>
      </w:pPr>
      <w:bookmarkStart w:id="4" w:name="_Ref53179866"/>
      <w:r>
        <w:t>7</w:t>
      </w:r>
      <w:bookmarkStart w:id="5" w:name="_Ref53179931"/>
      <w:bookmarkEnd w:id="4"/>
      <w:r w:rsidR="0015642F">
        <w:t>. Dokumentation der PoC-Antigen-Tests</w:t>
      </w:r>
      <w:bookmarkEnd w:id="5"/>
    </w:p>
    <w:p w14:paraId="29E2B004" w14:textId="77777777" w:rsidR="0015642F" w:rsidRDefault="0015642F" w:rsidP="0015642F">
      <w:r>
        <w:t>Eine umfassende Dokumentation aller positiven wie negativen Testergebnisse ist erforderlich, damit die Einrichtung eine Übersicht darüber hat, wer, wann und mit welchem Ergebnis getestet wurde. Sinnvoll ist, dass eine solche Übersicht auch andere wichtige Informationen einbezieht, wie z. B. das Vorhandensein von Symptomen und die Meldung des positiven Testergebnisses an das Gesundheitsamt.</w:t>
      </w:r>
    </w:p>
    <w:p w14:paraId="78874205" w14:textId="77777777" w:rsidR="0015642F" w:rsidRDefault="0015642F" w:rsidP="0015642F">
      <w:r>
        <w:t>Als Beispiel für die Dokumentation eignen sich z. B. die Musterformblätter der RKI-Empfehlung „Prävention und Management von COVID-19 in Alten- und Pflegeheimen und Einrichtungen für Menschen mit Beeinträchtigungen und Behinderungen“ (</w:t>
      </w:r>
      <w:hyperlink r:id="rId7" w:history="1">
        <w:r w:rsidRPr="00860825">
          <w:rPr>
            <w:rStyle w:val="Hyperlink"/>
          </w:rPr>
          <w:t>https://www.rki.de/DE/Content/InfAZ/N/Neuartiges_Coronavirus/Alten_Pflegeeinrichtung_Empfehlung.pdf?__blob=publicationFile</w:t>
        </w:r>
      </w:hyperlink>
      <w:r>
        <w:t>). Die Dokumentation sollte möglichst elektronisch erfolgen.</w:t>
      </w:r>
    </w:p>
    <w:p w14:paraId="77FCBF56" w14:textId="4F9D54A4" w:rsidR="0015642F" w:rsidRDefault="0015642F" w:rsidP="0015642F">
      <w:r w:rsidRPr="00FF0BE2">
        <w:t xml:space="preserve">Bei der Dokumentation von Daten sowie beim Umgang </w:t>
      </w:r>
      <w:r w:rsidR="00087E52" w:rsidRPr="00FF0BE2">
        <w:t xml:space="preserve">insbesondere </w:t>
      </w:r>
      <w:r w:rsidRPr="00FF0BE2">
        <w:t>mit positiven Testergebnissen sind Belange des Datenschutzes zu berücksichtigen.</w:t>
      </w:r>
    </w:p>
    <w:p w14:paraId="36453A75" w14:textId="59B0DB96" w:rsidR="0015642F" w:rsidRDefault="004169DE" w:rsidP="0015642F">
      <w:pPr>
        <w:pStyle w:val="berschrift3"/>
        <w:numPr>
          <w:ilvl w:val="0"/>
          <w:numId w:val="0"/>
        </w:numPr>
      </w:pPr>
      <w:bookmarkStart w:id="6" w:name="_Ref52957136"/>
      <w:r>
        <w:lastRenderedPageBreak/>
        <w:t>8</w:t>
      </w:r>
      <w:r w:rsidR="0015642F">
        <w:t>. Umgang mit positiven Testergebnissen</w:t>
      </w:r>
      <w:bookmarkEnd w:id="6"/>
    </w:p>
    <w:p w14:paraId="18E069DB" w14:textId="4EC46867" w:rsidR="0015642F" w:rsidRDefault="0015642F" w:rsidP="0015642F">
      <w:r w:rsidRPr="004D6BC5">
        <w:t>Das Test-Ergebnis ist dem Getesteten umgehend mitzuteilen</w:t>
      </w:r>
      <w:r w:rsidRPr="005C3CC9">
        <w:t xml:space="preserve">. </w:t>
      </w:r>
      <w:r>
        <w:t xml:space="preserve">Im Falle eines </w:t>
      </w:r>
      <w:r w:rsidRPr="005C3CC9">
        <w:t xml:space="preserve">positiven </w:t>
      </w:r>
      <w:r>
        <w:t>PoC-Antigen-</w:t>
      </w:r>
      <w:r w:rsidRPr="00AA73F5">
        <w:t>Testergebnisses ist unverzüglich Kontakt mit dem zuständigen Gesundheitsamt aufzunehmen</w:t>
      </w:r>
      <w:r>
        <w:t>. Das positive PoC-Antigen-Testergebnis ist offiziell zu melden</w:t>
      </w:r>
      <w:r w:rsidRPr="00AA73F5">
        <w:t xml:space="preserve"> (Meldepflicht gemäß § 8 i. V. m. § 6 Abs. 1 Satz 1 Nr. 1 Buchstabe t Infektionsschutzgesetz, Arztmeldebogen gemäß §§ 6, 8, 9 IfSG – Mustervorschlag des RKI (</w:t>
      </w:r>
      <w:hyperlink r:id="rId8" w:history="1">
        <w:r w:rsidR="00FA0A6D" w:rsidRPr="004F7777">
          <w:rPr>
            <w:rStyle w:val="Hyperlink"/>
          </w:rPr>
          <w:t>https://www.rki.de/DE/Content/Infekt/IfSG/Meldeboegen/Arztmeldungen/arztmeldung_vorschlag_rki.html)</w:t>
        </w:r>
      </w:hyperlink>
      <w:r w:rsidRPr="00AA73F5">
        <w:t>).</w:t>
      </w:r>
    </w:p>
    <w:p w14:paraId="4948F365" w14:textId="02024D6B" w:rsidR="00FA0A6D" w:rsidRPr="00AA73F5" w:rsidRDefault="00FA0A6D" w:rsidP="0015642F">
      <w:r>
        <w:t xml:space="preserve">Hinweis: </w:t>
      </w:r>
      <w:r w:rsidR="00174CA0">
        <w:t>Im</w:t>
      </w:r>
      <w:r>
        <w:t xml:space="preserve"> </w:t>
      </w:r>
      <w:r w:rsidR="00174CA0">
        <w:t>Referentene</w:t>
      </w:r>
      <w:r w:rsidR="00174CA0" w:rsidRPr="00174CA0">
        <w:t>ntwurf eines Dritten Gesetzes zum Schutz der Bevölkerung bei einer epidemischen Lage von nationaler Tragweite</w:t>
      </w:r>
      <w:r w:rsidR="00174CA0">
        <w:t xml:space="preserve"> ist vorgesehen,</w:t>
      </w:r>
      <w:r w:rsidR="00174CA0" w:rsidRPr="00174CA0">
        <w:t xml:space="preserve"> die Meldepflicht für PoC Tests aufzuheben</w:t>
      </w:r>
      <w:r w:rsidR="00174CA0">
        <w:t>.</w:t>
      </w:r>
      <w:bookmarkStart w:id="7" w:name="_GoBack"/>
      <w:bookmarkEnd w:id="7"/>
    </w:p>
    <w:p w14:paraId="7449B7BE" w14:textId="77777777" w:rsidR="0015642F" w:rsidRDefault="0015642F" w:rsidP="0015642F">
      <w:r w:rsidRPr="006801B3">
        <w:t xml:space="preserve">Seitens des Gesundheitsamtes erfolgen weitere Maßnahmen, wie die Veranlassung </w:t>
      </w:r>
      <w:r w:rsidRPr="00002415">
        <w:t>eines P</w:t>
      </w:r>
      <w:r w:rsidRPr="00087ED1">
        <w:t>CR-Tests</w:t>
      </w:r>
      <w:r w:rsidRPr="00AA73F5">
        <w:t xml:space="preserve"> und ggfls. Quarantäne-Maßnahmen für</w:t>
      </w:r>
      <w:r>
        <w:t xml:space="preserve"> die mit dem PoC-Antigen-Test positiv getestete Person und mögliche Kontaktpersonen.</w:t>
      </w:r>
      <w:r w:rsidR="00EF2DF5">
        <w:t xml:space="preserve"> </w:t>
      </w:r>
    </w:p>
    <w:sectPr w:rsidR="0015642F" w:rsidSect="0040532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66B4A" w14:textId="77777777" w:rsidR="0015642F" w:rsidRDefault="0015642F" w:rsidP="0015642F">
      <w:pPr>
        <w:spacing w:after="0" w:line="240" w:lineRule="auto"/>
      </w:pPr>
      <w:r>
        <w:separator/>
      </w:r>
    </w:p>
  </w:endnote>
  <w:endnote w:type="continuationSeparator" w:id="0">
    <w:p w14:paraId="64588B03" w14:textId="77777777" w:rsidR="0015642F" w:rsidRDefault="0015642F" w:rsidP="0015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undesSerif Office">
    <w:panose1 w:val="02050002050300000203"/>
    <w:charset w:val="00"/>
    <w:family w:val="roman"/>
    <w:pitch w:val="variable"/>
    <w:sig w:usb0="A00000BF" w:usb1="4000206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2906C" w14:textId="77777777" w:rsidR="00714F27" w:rsidRDefault="00714F2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CD817" w14:textId="77777777" w:rsidR="00714F27" w:rsidRDefault="00714F2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1297C" w14:textId="77777777" w:rsidR="00714F27" w:rsidRDefault="00714F2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3818C" w14:textId="77777777" w:rsidR="0015642F" w:rsidRDefault="0015642F" w:rsidP="0015642F">
      <w:pPr>
        <w:spacing w:after="0" w:line="240" w:lineRule="auto"/>
      </w:pPr>
      <w:r>
        <w:separator/>
      </w:r>
    </w:p>
  </w:footnote>
  <w:footnote w:type="continuationSeparator" w:id="0">
    <w:p w14:paraId="7D84B390" w14:textId="77777777" w:rsidR="0015642F" w:rsidRDefault="0015642F" w:rsidP="00156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17B73" w14:textId="77777777" w:rsidR="00714F27" w:rsidRDefault="00714F2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2E8ED" w14:textId="77777777" w:rsidR="0015642F" w:rsidRDefault="0015642F" w:rsidP="0015642F">
    <w:pPr>
      <w:pStyle w:val="Kopfzeile"/>
      <w:jc w:val="right"/>
    </w:pPr>
    <w:r w:rsidRPr="0015642F">
      <w:t xml:space="preserve">Anlage </w:t>
    </w:r>
    <w:r w:rsidR="00191B78">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0E85C" w14:textId="77777777" w:rsidR="00714F27" w:rsidRDefault="00714F2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F2BC0"/>
    <w:multiLevelType w:val="hybridMultilevel"/>
    <w:tmpl w:val="44A4DB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3210A89"/>
    <w:multiLevelType w:val="hybridMultilevel"/>
    <w:tmpl w:val="309EABA8"/>
    <w:lvl w:ilvl="0" w:tplc="1C9AA7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D8C204B"/>
    <w:multiLevelType w:val="hybridMultilevel"/>
    <w:tmpl w:val="36B8C30E"/>
    <w:lvl w:ilvl="0" w:tplc="1C9AA742">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C146D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2F"/>
    <w:rsid w:val="00087E52"/>
    <w:rsid w:val="000B4954"/>
    <w:rsid w:val="001122A0"/>
    <w:rsid w:val="00125A4F"/>
    <w:rsid w:val="0015642F"/>
    <w:rsid w:val="00174CA0"/>
    <w:rsid w:val="00191B78"/>
    <w:rsid w:val="001C328B"/>
    <w:rsid w:val="00235DE8"/>
    <w:rsid w:val="002E69BE"/>
    <w:rsid w:val="00366E00"/>
    <w:rsid w:val="0040532F"/>
    <w:rsid w:val="004169DE"/>
    <w:rsid w:val="0049043F"/>
    <w:rsid w:val="00583CF0"/>
    <w:rsid w:val="006228E0"/>
    <w:rsid w:val="00644CB2"/>
    <w:rsid w:val="006A181B"/>
    <w:rsid w:val="006D632D"/>
    <w:rsid w:val="00714F27"/>
    <w:rsid w:val="00755011"/>
    <w:rsid w:val="00763A20"/>
    <w:rsid w:val="008A1940"/>
    <w:rsid w:val="009A23FE"/>
    <w:rsid w:val="00A10509"/>
    <w:rsid w:val="00A34DD1"/>
    <w:rsid w:val="00A43D13"/>
    <w:rsid w:val="00A53C40"/>
    <w:rsid w:val="00AD397A"/>
    <w:rsid w:val="00B94C42"/>
    <w:rsid w:val="00CC0272"/>
    <w:rsid w:val="00DA1271"/>
    <w:rsid w:val="00DC0B97"/>
    <w:rsid w:val="00DF6B04"/>
    <w:rsid w:val="00E27AF0"/>
    <w:rsid w:val="00E41B26"/>
    <w:rsid w:val="00E51AF0"/>
    <w:rsid w:val="00E5329D"/>
    <w:rsid w:val="00E97EBB"/>
    <w:rsid w:val="00EF2DF5"/>
    <w:rsid w:val="00F3145A"/>
    <w:rsid w:val="00FA0A6D"/>
    <w:rsid w:val="00FB6806"/>
    <w:rsid w:val="00FE37CE"/>
    <w:rsid w:val="00FF4E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BEF24"/>
  <w15:chartTrackingRefBased/>
  <w15:docId w15:val="{415E6358-7762-462B-AE75-003BDE6B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4F27"/>
    <w:rPr>
      <w:rFonts w:ascii="BundesSerif Office" w:hAnsi="BundesSerif Office"/>
    </w:rPr>
  </w:style>
  <w:style w:type="paragraph" w:styleId="berschrift1">
    <w:name w:val="heading 1"/>
    <w:basedOn w:val="Standard"/>
    <w:next w:val="Standard"/>
    <w:link w:val="berschrift1Zchn"/>
    <w:uiPriority w:val="9"/>
    <w:qFormat/>
    <w:rsid w:val="0015642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15642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15642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15642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15642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rsid w:val="0015642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qFormat/>
    <w:rsid w:val="0015642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qFormat/>
    <w:rsid w:val="0015642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15642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642F"/>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15642F"/>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15642F"/>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15642F"/>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rsid w:val="0015642F"/>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rsid w:val="0015642F"/>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rsid w:val="0015642F"/>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rsid w:val="0015642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15642F"/>
    <w:rPr>
      <w:rFonts w:asciiTheme="majorHAnsi" w:eastAsiaTheme="majorEastAsia" w:hAnsiTheme="majorHAnsi" w:cstheme="majorBidi"/>
      <w:i/>
      <w:iCs/>
      <w:color w:val="272727" w:themeColor="text1" w:themeTint="D8"/>
      <w:sz w:val="21"/>
      <w:szCs w:val="21"/>
    </w:rPr>
  </w:style>
  <w:style w:type="character" w:styleId="Kommentarzeichen">
    <w:name w:val="annotation reference"/>
    <w:basedOn w:val="Absatz-Standardschriftart"/>
    <w:uiPriority w:val="99"/>
    <w:semiHidden/>
    <w:unhideWhenUsed/>
    <w:rsid w:val="0015642F"/>
    <w:rPr>
      <w:sz w:val="16"/>
      <w:szCs w:val="16"/>
    </w:rPr>
  </w:style>
  <w:style w:type="paragraph" w:styleId="Kommentartext">
    <w:name w:val="annotation text"/>
    <w:basedOn w:val="Standard"/>
    <w:link w:val="KommentartextZchn"/>
    <w:uiPriority w:val="99"/>
    <w:semiHidden/>
    <w:unhideWhenUsed/>
    <w:rsid w:val="0015642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5642F"/>
    <w:rPr>
      <w:rFonts w:ascii="BundesSerif Office" w:hAnsi="BundesSerif Office"/>
      <w:sz w:val="20"/>
      <w:szCs w:val="20"/>
    </w:rPr>
  </w:style>
  <w:style w:type="character" w:styleId="Hyperlink">
    <w:name w:val="Hyperlink"/>
    <w:basedOn w:val="Absatz-Standardschriftart"/>
    <w:uiPriority w:val="99"/>
    <w:unhideWhenUsed/>
    <w:rsid w:val="0015642F"/>
    <w:rPr>
      <w:color w:val="0563C1" w:themeColor="hyperlink"/>
      <w:u w:val="single"/>
    </w:rPr>
  </w:style>
  <w:style w:type="paragraph" w:styleId="Sprechblasentext">
    <w:name w:val="Balloon Text"/>
    <w:basedOn w:val="Standard"/>
    <w:link w:val="SprechblasentextZchn"/>
    <w:uiPriority w:val="99"/>
    <w:semiHidden/>
    <w:unhideWhenUsed/>
    <w:rsid w:val="001564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642F"/>
    <w:rPr>
      <w:rFonts w:ascii="Segoe UI" w:hAnsi="Segoe UI" w:cs="Segoe UI"/>
      <w:sz w:val="18"/>
      <w:szCs w:val="18"/>
    </w:rPr>
  </w:style>
  <w:style w:type="paragraph" w:styleId="Kopfzeile">
    <w:name w:val="header"/>
    <w:basedOn w:val="Standard"/>
    <w:link w:val="KopfzeileZchn"/>
    <w:uiPriority w:val="99"/>
    <w:unhideWhenUsed/>
    <w:rsid w:val="001564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642F"/>
    <w:rPr>
      <w:rFonts w:ascii="BundesSerif Office" w:hAnsi="BundesSerif Office"/>
    </w:rPr>
  </w:style>
  <w:style w:type="paragraph" w:styleId="Fuzeile">
    <w:name w:val="footer"/>
    <w:basedOn w:val="Standard"/>
    <w:link w:val="FuzeileZchn"/>
    <w:uiPriority w:val="99"/>
    <w:unhideWhenUsed/>
    <w:rsid w:val="001564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642F"/>
    <w:rPr>
      <w:rFonts w:ascii="BundesSerif Office" w:hAnsi="BundesSerif Office"/>
    </w:rPr>
  </w:style>
  <w:style w:type="paragraph" w:styleId="Listenabsatz">
    <w:name w:val="List Paragraph"/>
    <w:basedOn w:val="Standard"/>
    <w:uiPriority w:val="34"/>
    <w:qFormat/>
    <w:rsid w:val="0040532F"/>
    <w:pPr>
      <w:ind w:left="720"/>
      <w:contextualSpacing/>
    </w:pPr>
  </w:style>
  <w:style w:type="paragraph" w:styleId="Kommentarthema">
    <w:name w:val="annotation subject"/>
    <w:basedOn w:val="Kommentartext"/>
    <w:next w:val="Kommentartext"/>
    <w:link w:val="KommentarthemaZchn"/>
    <w:uiPriority w:val="99"/>
    <w:semiHidden/>
    <w:unhideWhenUsed/>
    <w:rsid w:val="00087E52"/>
    <w:rPr>
      <w:b/>
      <w:bCs/>
    </w:rPr>
  </w:style>
  <w:style w:type="character" w:customStyle="1" w:styleId="KommentarthemaZchn">
    <w:name w:val="Kommentarthema Zchn"/>
    <w:basedOn w:val="KommentartextZchn"/>
    <w:link w:val="Kommentarthema"/>
    <w:uiPriority w:val="99"/>
    <w:semiHidden/>
    <w:rsid w:val="00087E52"/>
    <w:rPr>
      <w:rFonts w:ascii="BundesSerif Office" w:hAnsi="BundesSerif Office"/>
      <w:b/>
      <w:bCs/>
      <w:sz w:val="20"/>
      <w:szCs w:val="20"/>
    </w:rPr>
  </w:style>
  <w:style w:type="paragraph" w:styleId="berarbeitung">
    <w:name w:val="Revision"/>
    <w:hidden/>
    <w:uiPriority w:val="99"/>
    <w:semiHidden/>
    <w:rsid w:val="00087E52"/>
    <w:pPr>
      <w:spacing w:after="0" w:line="240" w:lineRule="auto"/>
    </w:pPr>
    <w:rPr>
      <w:rFonts w:ascii="BundesSerif Office" w:hAnsi="BundesSerif Offic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ekt/IfSG/Meldeboegen/Arztmeldungen/arztmeldung_vorschlag_rki.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ki.de/DE/Content/InfAZ/N/Neuartiges_Coronavirus/Alten_Pflegeeinrichtung_Empfehlung.pdf?__blob=publicationFil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91630070.dotm</Template>
  <TotalTime>0</TotalTime>
  <Pages>3</Pages>
  <Words>1035</Words>
  <Characters>6526</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BMG</Company>
  <LinksUpToDate>false</LinksUpToDate>
  <CharactersWithSpaces>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Cinar, Süheyla -421 / -VZ AL 4 BMG</dc:creator>
  <cp:keywords/>
  <dc:description/>
  <cp:lastModifiedBy>Berringer Dr., Christian -413 BMG</cp:lastModifiedBy>
  <cp:revision>2</cp:revision>
  <cp:lastPrinted>2020-10-15T15:08:00Z</cp:lastPrinted>
  <dcterms:created xsi:type="dcterms:W3CDTF">2020-10-16T18:13:00Z</dcterms:created>
  <dcterms:modified xsi:type="dcterms:W3CDTF">2020-10-16T18:13:00Z</dcterms:modified>
</cp:coreProperties>
</file>